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ACF" w:rsidRDefault="004E7ACF">
      <w:bookmarkStart w:id="0" w:name="_GoBack"/>
      <w:bookmarkEnd w:id="0"/>
      <w:r>
        <w:rPr>
          <w:noProof/>
        </w:rPr>
        <w:drawing>
          <wp:inline distT="0" distB="0" distL="0" distR="0" wp14:anchorId="12F94563" wp14:editId="1F7A8BAE">
            <wp:extent cx="6170279" cy="3988299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658" t="23856" r="27434" b="24535"/>
                    <a:stretch/>
                  </pic:blipFill>
                  <pic:spPr bwMode="auto">
                    <a:xfrm>
                      <a:off x="0" y="0"/>
                      <a:ext cx="6173658" cy="3990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E7A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CF"/>
    <w:rsid w:val="004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735F8-4CA1-4EA6-9C7D-F07E7FC8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TS21. GLORIA MYRIAM AVILA REINA</dc:creator>
  <cp:keywords/>
  <dc:description/>
  <cp:lastModifiedBy>TS21. GLORIA MYRIAM AVILA REINA</cp:lastModifiedBy>
  <cp:revision>1</cp:revision>
  <dcterms:created xsi:type="dcterms:W3CDTF">2023-03-13T13:35:00Z</dcterms:created>
  <dcterms:modified xsi:type="dcterms:W3CDTF">2023-03-13T13:36:00Z</dcterms:modified>
</cp:coreProperties>
</file>