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DC4F8B" w14:textId="77777777" w:rsidR="00A02154" w:rsidRDefault="00A02154" w:rsidP="00A02154">
      <w:pPr>
        <w:spacing w:after="0" w:line="240" w:lineRule="auto"/>
      </w:pPr>
    </w:p>
    <w:p w14:paraId="561216D9" w14:textId="77777777" w:rsidR="00A6415F" w:rsidRDefault="00A6415F" w:rsidP="00772E0C">
      <w:pPr>
        <w:spacing w:after="0" w:line="240" w:lineRule="auto"/>
        <w:jc w:val="right"/>
        <w:rPr>
          <w:rFonts w:ascii="Trebuchet MS" w:eastAsia="Times New Roman" w:hAnsi="Trebuchet MS" w:cs="Times New Roman"/>
          <w:b/>
          <w:lang w:val="es-ES_tradnl" w:eastAsia="es-ES"/>
        </w:rPr>
      </w:pPr>
    </w:p>
    <w:p w14:paraId="0F036C1C" w14:textId="77777777" w:rsidR="00A6415F" w:rsidRPr="00211163" w:rsidRDefault="00A6415F" w:rsidP="00A6415F">
      <w:pPr>
        <w:jc w:val="center"/>
        <w:rPr>
          <w:rFonts w:ascii="Calibri" w:hAnsi="Calibri" w:cs="Calibri"/>
          <w:b/>
        </w:rPr>
      </w:pPr>
      <w:r w:rsidRPr="00211163">
        <w:rPr>
          <w:rFonts w:ascii="Calibri" w:hAnsi="Calibri" w:cs="Calibri"/>
          <w:b/>
        </w:rPr>
        <w:t>ANALISIS DEL SECTOR</w:t>
      </w:r>
    </w:p>
    <w:p w14:paraId="11572985" w14:textId="77777777" w:rsidR="00A6415F" w:rsidRPr="00211163" w:rsidRDefault="00A6415F" w:rsidP="00A6415F">
      <w:pPr>
        <w:jc w:val="center"/>
        <w:rPr>
          <w:rFonts w:ascii="Calibri" w:hAnsi="Calibri" w:cs="Calibri"/>
          <w:b/>
        </w:rPr>
      </w:pPr>
      <w:r w:rsidRPr="00211163">
        <w:rPr>
          <w:rFonts w:ascii="Calibri" w:hAnsi="Calibri" w:cs="Calibri"/>
          <w:b/>
        </w:rPr>
        <w:t>CONTENIDO</w:t>
      </w:r>
    </w:p>
    <w:p w14:paraId="57E08165" w14:textId="7EAE9F66" w:rsidR="00A6415F" w:rsidRDefault="00A6415F" w:rsidP="00A6415F">
      <w:pPr>
        <w:rPr>
          <w:rFonts w:ascii="Calibri" w:hAnsi="Calibri" w:cs="Calibri"/>
        </w:rPr>
      </w:pPr>
    </w:p>
    <w:p w14:paraId="5AD0F4BA" w14:textId="77777777" w:rsidR="00A6415F" w:rsidRPr="00211163" w:rsidRDefault="00A6415F" w:rsidP="00A6415F">
      <w:pPr>
        <w:pStyle w:val="Prrafodelista"/>
        <w:numPr>
          <w:ilvl w:val="0"/>
          <w:numId w:val="2"/>
        </w:numPr>
        <w:spacing w:after="160" w:line="259" w:lineRule="auto"/>
        <w:rPr>
          <w:rFonts w:ascii="Calibri" w:hAnsi="Calibri" w:cs="Calibri"/>
        </w:rPr>
      </w:pPr>
      <w:r w:rsidRPr="00211163">
        <w:rPr>
          <w:rFonts w:ascii="Calibri" w:hAnsi="Calibri" w:cs="Calibri"/>
        </w:rPr>
        <w:t>MARCO LEGAL</w:t>
      </w:r>
    </w:p>
    <w:p w14:paraId="1D497923" w14:textId="77777777" w:rsidR="00A6415F" w:rsidRPr="00211163" w:rsidRDefault="00A6415F" w:rsidP="00A6415F">
      <w:pPr>
        <w:pStyle w:val="Prrafodelista"/>
        <w:numPr>
          <w:ilvl w:val="0"/>
          <w:numId w:val="2"/>
        </w:numPr>
        <w:spacing w:after="160" w:line="259" w:lineRule="auto"/>
        <w:rPr>
          <w:rFonts w:ascii="Calibri" w:hAnsi="Calibri" w:cs="Calibri"/>
        </w:rPr>
      </w:pPr>
      <w:r w:rsidRPr="00211163">
        <w:rPr>
          <w:rFonts w:ascii="Calibri" w:hAnsi="Calibri" w:cs="Calibri"/>
        </w:rPr>
        <w:t xml:space="preserve">ANALISIS DEL MERCADO </w:t>
      </w:r>
    </w:p>
    <w:p w14:paraId="26B8E6F8" w14:textId="77777777" w:rsidR="00A6415F" w:rsidRPr="00211163" w:rsidRDefault="00A6415F" w:rsidP="00A6415F">
      <w:pPr>
        <w:pStyle w:val="Prrafodelista"/>
        <w:numPr>
          <w:ilvl w:val="0"/>
          <w:numId w:val="2"/>
        </w:numPr>
        <w:spacing w:after="160" w:line="259" w:lineRule="auto"/>
        <w:rPr>
          <w:rFonts w:ascii="Calibri" w:hAnsi="Calibri" w:cs="Calibri"/>
        </w:rPr>
      </w:pPr>
      <w:r w:rsidRPr="00211163">
        <w:rPr>
          <w:rFonts w:ascii="Calibri" w:hAnsi="Calibri" w:cs="Calibri"/>
        </w:rPr>
        <w:t xml:space="preserve">ANALISIS PERSPECTIVA TECNICA </w:t>
      </w:r>
    </w:p>
    <w:p w14:paraId="1E8174DD" w14:textId="77777777" w:rsidR="00A6415F" w:rsidRPr="00211163" w:rsidRDefault="00A6415F" w:rsidP="00A6415F">
      <w:pPr>
        <w:pStyle w:val="Prrafodelista"/>
        <w:numPr>
          <w:ilvl w:val="0"/>
          <w:numId w:val="2"/>
        </w:numPr>
        <w:spacing w:after="160" w:line="259" w:lineRule="auto"/>
        <w:rPr>
          <w:rFonts w:ascii="Calibri" w:hAnsi="Calibri" w:cs="Calibri"/>
        </w:rPr>
      </w:pPr>
      <w:r w:rsidRPr="00211163">
        <w:rPr>
          <w:rFonts w:ascii="Calibri" w:hAnsi="Calibri" w:cs="Calibri"/>
        </w:rPr>
        <w:t xml:space="preserve">ANALISIS PESPECTIVA FINANCIERA </w:t>
      </w:r>
    </w:p>
    <w:p w14:paraId="676D01AC" w14:textId="77777777" w:rsidR="00A6415F" w:rsidRPr="00211163" w:rsidRDefault="00A6415F" w:rsidP="00A6415F">
      <w:pPr>
        <w:pStyle w:val="Prrafodelista"/>
        <w:numPr>
          <w:ilvl w:val="0"/>
          <w:numId w:val="2"/>
        </w:numPr>
        <w:spacing w:after="160" w:line="259" w:lineRule="auto"/>
        <w:rPr>
          <w:rFonts w:ascii="Calibri" w:hAnsi="Calibri" w:cs="Calibri"/>
        </w:rPr>
      </w:pPr>
      <w:r w:rsidRPr="00211163">
        <w:rPr>
          <w:rFonts w:ascii="Calibri" w:hAnsi="Calibri" w:cs="Calibri"/>
        </w:rPr>
        <w:t xml:space="preserve">ANALISIS DE LA DEMANDA </w:t>
      </w:r>
    </w:p>
    <w:p w14:paraId="5BE616F3" w14:textId="1CA84DC7" w:rsidR="00A6415F" w:rsidRDefault="00A6415F" w:rsidP="00A6415F">
      <w:pPr>
        <w:pStyle w:val="Prrafodelista"/>
        <w:numPr>
          <w:ilvl w:val="0"/>
          <w:numId w:val="2"/>
        </w:numPr>
        <w:spacing w:after="160" w:line="259" w:lineRule="auto"/>
        <w:rPr>
          <w:rFonts w:ascii="Calibri" w:hAnsi="Calibri" w:cs="Calibri"/>
        </w:rPr>
      </w:pPr>
      <w:r w:rsidRPr="00211163">
        <w:rPr>
          <w:rFonts w:ascii="Calibri" w:hAnsi="Calibri" w:cs="Calibri"/>
        </w:rPr>
        <w:t xml:space="preserve">ANALISIS DE LA OFERTA </w:t>
      </w:r>
    </w:p>
    <w:p w14:paraId="7FED3F7D" w14:textId="597AE68C" w:rsidR="00754CBF" w:rsidRPr="00754CBF" w:rsidRDefault="00754CBF" w:rsidP="00754CBF">
      <w:pPr>
        <w:pStyle w:val="Prrafodelista"/>
        <w:numPr>
          <w:ilvl w:val="0"/>
          <w:numId w:val="2"/>
        </w:numPr>
        <w:spacing w:after="160" w:line="259" w:lineRule="auto"/>
        <w:rPr>
          <w:rFonts w:ascii="Calibri" w:hAnsi="Calibri" w:cs="Calibri"/>
        </w:rPr>
      </w:pPr>
      <w:r w:rsidRPr="00754CBF">
        <w:rPr>
          <w:rFonts w:ascii="Calibri" w:hAnsi="Calibri" w:cs="Calibri"/>
        </w:rPr>
        <w:t>ANÁLISIS DE RIESGOS</w:t>
      </w:r>
    </w:p>
    <w:p w14:paraId="4BA9A967" w14:textId="77777777" w:rsidR="00754CBF" w:rsidRPr="00EC30A1" w:rsidRDefault="00754CBF" w:rsidP="00754CBF">
      <w:pPr>
        <w:pStyle w:val="Prrafodelista"/>
        <w:ind w:left="360"/>
        <w:jc w:val="both"/>
        <w:rPr>
          <w:rFonts w:ascii="Tahoma" w:hAnsi="Tahoma" w:cs="Tahoma"/>
          <w:sz w:val="20"/>
          <w:szCs w:val="20"/>
        </w:rPr>
      </w:pPr>
    </w:p>
    <w:p w14:paraId="250B3E99" w14:textId="77777777" w:rsidR="00A6415F" w:rsidRPr="00211163" w:rsidRDefault="00A6415F" w:rsidP="00A6415F">
      <w:pPr>
        <w:rPr>
          <w:rFonts w:ascii="Calibri" w:hAnsi="Calibri" w:cs="Calibri"/>
        </w:rPr>
      </w:pPr>
    </w:p>
    <w:p w14:paraId="3B6D30A6" w14:textId="77777777" w:rsidR="00A6415F" w:rsidRDefault="00A6415F" w:rsidP="00A6415F"/>
    <w:p w14:paraId="66F02B91" w14:textId="77777777" w:rsidR="00A6415F" w:rsidRDefault="00A6415F" w:rsidP="00A6415F"/>
    <w:p w14:paraId="26C43CA8" w14:textId="77777777" w:rsidR="00A6415F" w:rsidRDefault="00A6415F" w:rsidP="00A6415F"/>
    <w:p w14:paraId="5157D0D9" w14:textId="6275B980" w:rsidR="005C7C2E" w:rsidRDefault="005C7C2E">
      <w:r>
        <w:br w:type="page"/>
      </w:r>
    </w:p>
    <w:p w14:paraId="27C50441" w14:textId="77777777" w:rsidR="00A6415F" w:rsidRPr="00211163" w:rsidRDefault="00A6415F" w:rsidP="00A6415F">
      <w:pPr>
        <w:pStyle w:val="Prrafodelista"/>
        <w:numPr>
          <w:ilvl w:val="0"/>
          <w:numId w:val="3"/>
        </w:numPr>
        <w:spacing w:after="160" w:line="259" w:lineRule="auto"/>
        <w:rPr>
          <w:rFonts w:ascii="Calibri" w:hAnsi="Calibri" w:cs="Calibri"/>
          <w:b/>
        </w:rPr>
      </w:pPr>
      <w:r w:rsidRPr="00211163">
        <w:rPr>
          <w:rFonts w:ascii="Calibri" w:hAnsi="Calibri" w:cs="Calibri"/>
          <w:b/>
        </w:rPr>
        <w:lastRenderedPageBreak/>
        <w:t xml:space="preserve">MARCO LEGAL </w:t>
      </w:r>
    </w:p>
    <w:p w14:paraId="4C40F6EC" w14:textId="77777777" w:rsidR="00A6415F" w:rsidRPr="00211163" w:rsidRDefault="00A6415F" w:rsidP="00A6415F">
      <w:pPr>
        <w:pStyle w:val="Prrafodelista"/>
        <w:rPr>
          <w:rFonts w:ascii="Calibri" w:hAnsi="Calibri" w:cs="Calibri"/>
        </w:rPr>
      </w:pPr>
    </w:p>
    <w:p w14:paraId="734D963F" w14:textId="0AD93241" w:rsidR="00A6415F" w:rsidRPr="00211163" w:rsidRDefault="00A6415F" w:rsidP="00F37579">
      <w:pPr>
        <w:jc w:val="both"/>
        <w:rPr>
          <w:rFonts w:ascii="Calibri" w:hAnsi="Calibri" w:cs="Calibri"/>
        </w:rPr>
      </w:pPr>
      <w:r w:rsidRPr="00211163">
        <w:rPr>
          <w:rFonts w:ascii="Calibri" w:hAnsi="Calibri" w:cs="Calibri"/>
        </w:rPr>
        <w:t xml:space="preserve">En cumplimiento de lo dispuesto en el artículo 2.2.1.1.1.6.1 del Decreto 1082 de 2015, El DADEP elaboro el Estudio del Sector para contratar </w:t>
      </w:r>
      <w:r w:rsidR="00B94E2C" w:rsidRPr="00211163">
        <w:rPr>
          <w:rFonts w:ascii="Calibri" w:hAnsi="Calibri" w:cs="Calibri"/>
        </w:rPr>
        <w:t xml:space="preserve">la </w:t>
      </w:r>
      <w:r w:rsidR="00F37579" w:rsidRPr="00867272">
        <w:rPr>
          <w:rFonts w:ascii="Trebuchet MS" w:hAnsi="Trebuchet MS" w:cs="Arial"/>
          <w:b/>
          <w:sz w:val="20"/>
          <w:szCs w:val="20"/>
        </w:rPr>
        <w:t>ADQUISICIÓN DEL LICENCIAMIENTO, SOPORTE, SERVICIOS DE CORREO ELECTRÓNICO Y HERRAMIENTAS COLABORATIVAS PARA EL DADEP</w:t>
      </w:r>
      <w:r w:rsidR="00B94E2C" w:rsidRPr="00211163">
        <w:rPr>
          <w:rFonts w:ascii="Calibri" w:eastAsia="Times New Roman" w:hAnsi="Calibri" w:cs="Calibri"/>
          <w:color w:val="000000"/>
          <w:lang w:eastAsia="es-CO"/>
        </w:rPr>
        <w:t xml:space="preserve">, </w:t>
      </w:r>
      <w:r w:rsidRPr="00211163">
        <w:rPr>
          <w:rFonts w:ascii="Calibri" w:hAnsi="Calibri" w:cs="Calibri"/>
        </w:rPr>
        <w:t xml:space="preserve">se deja constancia mediante el presente documento, del análisis del sector realizado en la etapa de planeación y estructuración del mismo, así: </w:t>
      </w:r>
    </w:p>
    <w:p w14:paraId="7D533D61" w14:textId="77777777" w:rsidR="00A6415F" w:rsidRPr="00211163" w:rsidRDefault="00A6415F" w:rsidP="00A6415F">
      <w:pPr>
        <w:jc w:val="both"/>
        <w:rPr>
          <w:rFonts w:ascii="Calibri" w:eastAsiaTheme="minorEastAsia" w:hAnsi="Calibri" w:cs="Calibri"/>
          <w:b/>
          <w:lang w:eastAsia="es-CO"/>
        </w:rPr>
      </w:pPr>
      <w:r w:rsidRPr="00211163">
        <w:rPr>
          <w:rFonts w:ascii="Calibri" w:eastAsiaTheme="minorEastAsia" w:hAnsi="Calibri" w:cs="Calibri"/>
          <w:b/>
          <w:lang w:eastAsia="es-CO"/>
        </w:rPr>
        <w:t xml:space="preserve">OBJETO DE LA CONTRATACION </w:t>
      </w:r>
    </w:p>
    <w:p w14:paraId="49699BF3" w14:textId="77777777" w:rsidR="00F37579" w:rsidRDefault="00F37579" w:rsidP="00F37579">
      <w:pPr>
        <w:jc w:val="both"/>
        <w:rPr>
          <w:rFonts w:ascii="Trebuchet MS" w:hAnsi="Trebuchet MS" w:cs="Arial"/>
          <w:b/>
          <w:sz w:val="20"/>
          <w:szCs w:val="20"/>
        </w:rPr>
      </w:pPr>
      <w:r w:rsidRPr="00867272">
        <w:rPr>
          <w:rFonts w:ascii="Trebuchet MS" w:hAnsi="Trebuchet MS" w:cs="Arial"/>
          <w:b/>
          <w:sz w:val="20"/>
          <w:szCs w:val="20"/>
        </w:rPr>
        <w:t>ADQUISICIÓN DEL LICENCIAMIENTO, SOPORTE, SERVICIOS DE CORREO ELECTRÓNICO Y HERRAMIENTAS COLABORATIVAS PARA EL DADEP</w:t>
      </w:r>
    </w:p>
    <w:p w14:paraId="535532AA" w14:textId="77777777" w:rsidR="008574A3" w:rsidRPr="00211163" w:rsidRDefault="008574A3" w:rsidP="00A6415F">
      <w:pPr>
        <w:spacing w:after="0" w:line="240" w:lineRule="auto"/>
        <w:jc w:val="both"/>
        <w:rPr>
          <w:rFonts w:ascii="Calibri" w:hAnsi="Calibri" w:cs="Calibri"/>
          <w:b/>
          <w:bCs/>
        </w:rPr>
      </w:pPr>
    </w:p>
    <w:p w14:paraId="254B64B3" w14:textId="77777777" w:rsidR="00A6415F" w:rsidRPr="00211163" w:rsidRDefault="00A6415F" w:rsidP="00A6415F">
      <w:pPr>
        <w:pStyle w:val="Prrafodelista"/>
        <w:numPr>
          <w:ilvl w:val="0"/>
          <w:numId w:val="3"/>
        </w:numPr>
        <w:spacing w:after="160" w:line="259" w:lineRule="auto"/>
        <w:rPr>
          <w:rFonts w:ascii="Calibri" w:hAnsi="Calibri" w:cs="Calibri"/>
          <w:b/>
        </w:rPr>
      </w:pPr>
      <w:r w:rsidRPr="00211163">
        <w:rPr>
          <w:rFonts w:ascii="Calibri" w:hAnsi="Calibri" w:cs="Calibri"/>
          <w:b/>
        </w:rPr>
        <w:t xml:space="preserve">ANALISIS DEL MERCADO </w:t>
      </w:r>
    </w:p>
    <w:p w14:paraId="0B953D75" w14:textId="77777777" w:rsidR="009B18EA" w:rsidRDefault="009B18EA" w:rsidP="00A53700">
      <w:pPr>
        <w:pStyle w:val="Sinespaciado"/>
        <w:jc w:val="both"/>
      </w:pPr>
      <w:r>
        <w:t>Para el presente proceso de selección nos compete el componente de producción de servicios TIC en el cual se encuentran los servicios y redes de telecomunicaciones, como: transmisión de datos, internet, correos y postales, entre otros. Así mismo, se encuentra la industria de software que hace referencia a licencias, sistemas informáticos, paquetes de software de aplicaciones. También los servicios de consultoría en TI (tecnología e información) se refieren a los servicios de gestión de procesos empresariales, soporte, diseño y desarrollo de TI para aplicaciones, servicios de alojamiento (hosting), entre otros.</w:t>
      </w:r>
    </w:p>
    <w:p w14:paraId="3B342236" w14:textId="77777777" w:rsidR="009B18EA" w:rsidRDefault="009B18EA" w:rsidP="00A53700">
      <w:pPr>
        <w:pStyle w:val="Sinespaciado"/>
        <w:jc w:val="both"/>
      </w:pPr>
    </w:p>
    <w:p w14:paraId="4A655B5A" w14:textId="77777777" w:rsidR="009B18EA" w:rsidRDefault="009B18EA" w:rsidP="00A53700">
      <w:pPr>
        <w:pStyle w:val="Sinespaciado"/>
        <w:jc w:val="both"/>
      </w:pPr>
      <w:r>
        <w:t xml:space="preserve">Ahora bien, dentro de este sector encontramos las empresas que ofrecen servicios de Tecnología de la Información y Comunicación TIC’S, las cuales han introducido importantes cambios en el desarrollo de los negocios en el mundo, constituyendo un sector dinámico en el crecimiento de la economía con innovación, investigación y desarrollo, así mismo, generando beneficios sobre la productividad de otras actividades económicas por medio de la reducción de costos transaccionales, la tecnificación en los distintos procesos operativos y la migración a nuevos modelos de negocio, facilitando la ampliación de la oferta y la demanda como expansión a diversos mercados. </w:t>
      </w:r>
    </w:p>
    <w:p w14:paraId="7F036CE5" w14:textId="77777777" w:rsidR="009B18EA" w:rsidRDefault="009B18EA" w:rsidP="00A53700">
      <w:pPr>
        <w:pStyle w:val="Sinespaciado"/>
        <w:jc w:val="both"/>
      </w:pPr>
    </w:p>
    <w:p w14:paraId="1F7D9332" w14:textId="41758E85" w:rsidR="0050298B" w:rsidRDefault="009B18EA" w:rsidP="00A53700">
      <w:pPr>
        <w:pStyle w:val="Sinespaciado"/>
        <w:jc w:val="both"/>
      </w:pPr>
      <w:r>
        <w:t>En Colombia, las Tecnologías de la Información y las Comunicaciones son básicas para el desarrollo de todos los sectores de la economía, cosa que ha reconocido el estado a través del Ministerio de TIC y la Comisión de Regulación de Comunicaciones. La tendencia en la utilización de TICS aplica a todos los sectores de la economía incluyendo el Sector Público donde la modernización de sus procesos y el uso de herramientas informáticas le permiten agilizar su funcionamiento.</w:t>
      </w:r>
    </w:p>
    <w:p w14:paraId="55E94B92" w14:textId="77777777" w:rsidR="009B18EA" w:rsidRPr="00211163" w:rsidRDefault="009B18EA" w:rsidP="00A53700">
      <w:pPr>
        <w:pStyle w:val="Sinespaciado"/>
        <w:jc w:val="both"/>
        <w:rPr>
          <w:rFonts w:eastAsiaTheme="minorHAnsi" w:cs="Calibri"/>
        </w:rPr>
      </w:pPr>
    </w:p>
    <w:p w14:paraId="10C8F03F" w14:textId="7468F4EA" w:rsidR="0050298B" w:rsidRPr="00211163" w:rsidRDefault="0050298B" w:rsidP="00A53700">
      <w:pPr>
        <w:pStyle w:val="Sinespaciado"/>
        <w:jc w:val="both"/>
        <w:rPr>
          <w:rFonts w:eastAsiaTheme="minorHAnsi" w:cs="Calibri"/>
          <w:b/>
          <w:bCs/>
        </w:rPr>
      </w:pPr>
      <w:r w:rsidRPr="00211163">
        <w:rPr>
          <w:rFonts w:eastAsiaTheme="minorHAnsi" w:cs="Calibri"/>
          <w:b/>
          <w:bCs/>
        </w:rPr>
        <w:t xml:space="preserve">Entorno Económico </w:t>
      </w:r>
    </w:p>
    <w:p w14:paraId="3723F2E5" w14:textId="792A036B" w:rsidR="0050298B" w:rsidRPr="00211163" w:rsidRDefault="0050298B" w:rsidP="00A53700">
      <w:pPr>
        <w:pStyle w:val="Sinespaciado"/>
        <w:jc w:val="both"/>
        <w:rPr>
          <w:rFonts w:eastAsiaTheme="minorHAnsi" w:cs="Calibri"/>
        </w:rPr>
      </w:pPr>
    </w:p>
    <w:p w14:paraId="18351EBB" w14:textId="77777777" w:rsidR="00C800CE" w:rsidRPr="00211163" w:rsidRDefault="00C800CE" w:rsidP="00C800CE">
      <w:pPr>
        <w:pStyle w:val="Sinespaciado"/>
        <w:jc w:val="both"/>
        <w:rPr>
          <w:rFonts w:eastAsiaTheme="minorHAnsi" w:cs="Calibri"/>
        </w:rPr>
      </w:pPr>
      <w:r w:rsidRPr="00211163">
        <w:rPr>
          <w:rFonts w:eastAsiaTheme="minorHAnsi" w:cs="Calibri"/>
        </w:rPr>
        <w:t xml:space="preserve">De acuerdo con el Ministerio de Tecnologías de la Información y las Comunicaciones (MinTIC), la cadena de valor del sector de Tecnologías de la Información y las Comunicaciones (TIC) en el país está compuesta por cinco dimensiones: “(1) la infraestructura que soporta la utilización de los servicios y productos, (2) la fabricación y/o venta de los bienes TIC, (3) la producción de los servicios de telecomunicaciones, donde el servicio de Internet comienza a ser el punto de surgimiento de una </w:t>
      </w:r>
      <w:r w:rsidRPr="00211163">
        <w:rPr>
          <w:rFonts w:eastAsiaTheme="minorHAnsi" w:cs="Calibri"/>
        </w:rPr>
        <w:lastRenderedPageBreak/>
        <w:t>cadena de valor del sector de Tecnologías de la Información nueva industria, (4) la industria de las plataformas digitales (y) (5) investigación, desarrollo e innovación”</w:t>
      </w:r>
      <w:r w:rsidRPr="00211163">
        <w:rPr>
          <w:rFonts w:eastAsiaTheme="minorHAnsi" w:cs="Calibri"/>
        </w:rPr>
        <w:footnoteReference w:id="1"/>
      </w:r>
      <w:r w:rsidRPr="00211163">
        <w:rPr>
          <w:rFonts w:eastAsiaTheme="minorHAnsi" w:cs="Calibri"/>
        </w:rPr>
        <w:t>. Éste último componente es transversal a las restantes dimensiones y es necesario para la continua evolución del sector TIC.</w:t>
      </w:r>
    </w:p>
    <w:p w14:paraId="48E8B4C4" w14:textId="77777777" w:rsidR="00C800CE" w:rsidRPr="00C800CE" w:rsidRDefault="00C800CE" w:rsidP="00C800CE">
      <w:pPr>
        <w:pStyle w:val="Sinespaciado"/>
        <w:jc w:val="both"/>
        <w:rPr>
          <w:rFonts w:ascii="Trebuchet MS" w:eastAsiaTheme="minorHAnsi" w:hAnsi="Trebuchet MS" w:cs="Arial"/>
          <w:sz w:val="20"/>
          <w:szCs w:val="20"/>
        </w:rPr>
      </w:pPr>
    </w:p>
    <w:p w14:paraId="12E51E28" w14:textId="77777777" w:rsidR="00C800CE" w:rsidRPr="00C800CE" w:rsidRDefault="00C800CE" w:rsidP="00C800CE">
      <w:pPr>
        <w:spacing w:after="160" w:line="259" w:lineRule="auto"/>
        <w:rPr>
          <w:b/>
          <w:bCs/>
        </w:rPr>
      </w:pPr>
      <w:r w:rsidRPr="00C800CE">
        <w:rPr>
          <w:b/>
          <w:bCs/>
        </w:rPr>
        <w:t>Cadena de valor del sector TIC</w:t>
      </w:r>
    </w:p>
    <w:p w14:paraId="19117696" w14:textId="77777777" w:rsidR="00C800CE" w:rsidRDefault="00C800CE" w:rsidP="00C800CE">
      <w:pPr>
        <w:pStyle w:val="Prrafodelista"/>
        <w:spacing w:after="160" w:line="259" w:lineRule="auto"/>
        <w:ind w:left="644"/>
      </w:pPr>
      <w:r w:rsidRPr="00430834">
        <w:rPr>
          <w:noProof/>
          <w:lang w:val="es-ES" w:eastAsia="es-ES"/>
        </w:rPr>
        <w:drawing>
          <wp:inline distT="0" distB="0" distL="0" distR="0" wp14:anchorId="50C471D7" wp14:editId="1B502671">
            <wp:extent cx="4632070" cy="2125993"/>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7231" cy="2128362"/>
                    </a:xfrm>
                    <a:prstGeom prst="rect">
                      <a:avLst/>
                    </a:prstGeom>
                    <a:noFill/>
                    <a:ln>
                      <a:noFill/>
                    </a:ln>
                  </pic:spPr>
                </pic:pic>
              </a:graphicData>
            </a:graphic>
          </wp:inline>
        </w:drawing>
      </w:r>
    </w:p>
    <w:p w14:paraId="4DFF218C" w14:textId="77777777" w:rsidR="00C800CE" w:rsidRDefault="00C800CE" w:rsidP="00C800CE">
      <w:pPr>
        <w:pStyle w:val="Prrafodelista"/>
        <w:spacing w:after="160" w:line="259" w:lineRule="auto"/>
        <w:ind w:left="644"/>
      </w:pPr>
      <w:r>
        <w:rPr>
          <w:sz w:val="16"/>
          <w:szCs w:val="16"/>
        </w:rPr>
        <w:t>Fuente: MinTIC, Ministerio de Tecnología e Información “Comportamiento Macroeconómico del Sector TIC en Colombia”. Diciembre de 2015. Disponible en Internet en: https://colombiatic.mintic.gov.co/679/articles-73994_recurso_1.pdf</w:t>
      </w:r>
    </w:p>
    <w:p w14:paraId="0D0D60AF" w14:textId="77777777" w:rsidR="00EB61AD" w:rsidRDefault="00EB61AD" w:rsidP="00C800CE">
      <w:pPr>
        <w:autoSpaceDE w:val="0"/>
        <w:autoSpaceDN w:val="0"/>
        <w:adjustRightInd w:val="0"/>
        <w:spacing w:after="0" w:line="240" w:lineRule="auto"/>
        <w:jc w:val="both"/>
        <w:rPr>
          <w:rFonts w:ascii="Calibri" w:hAnsi="Calibri" w:cs="Calibri"/>
        </w:rPr>
      </w:pPr>
    </w:p>
    <w:p w14:paraId="4FB6D585" w14:textId="05F7C356" w:rsidR="00C800CE" w:rsidRPr="00211163" w:rsidRDefault="00C800CE" w:rsidP="00C800CE">
      <w:pPr>
        <w:autoSpaceDE w:val="0"/>
        <w:autoSpaceDN w:val="0"/>
        <w:adjustRightInd w:val="0"/>
        <w:spacing w:after="0" w:line="240" w:lineRule="auto"/>
        <w:jc w:val="both"/>
        <w:rPr>
          <w:rFonts w:ascii="Calibri" w:hAnsi="Calibri" w:cs="Calibri"/>
        </w:rPr>
      </w:pPr>
      <w:r w:rsidRPr="00211163">
        <w:rPr>
          <w:rFonts w:ascii="Calibri" w:hAnsi="Calibri" w:cs="Calibri"/>
        </w:rPr>
        <w:t xml:space="preserve">Tomando como base el boletín técnico sobre la cuenta nacional emitida por el DANE para el primer trimestre de 2020 y el índice de precios al consumidor a marzo de 2020, se puede observar el estado macroeconómico de Colombia de la siguiente forma. </w:t>
      </w:r>
    </w:p>
    <w:p w14:paraId="342A2B1B" w14:textId="2D07856A" w:rsidR="00C800CE" w:rsidRDefault="00C800CE" w:rsidP="00C800CE">
      <w:pPr>
        <w:autoSpaceDE w:val="0"/>
        <w:autoSpaceDN w:val="0"/>
        <w:adjustRightInd w:val="0"/>
        <w:spacing w:after="0" w:line="240" w:lineRule="auto"/>
        <w:jc w:val="both"/>
        <w:rPr>
          <w:rFonts w:ascii="Calibri" w:hAnsi="Calibri" w:cs="Calibri"/>
          <w:color w:val="000000"/>
          <w:sz w:val="20"/>
          <w:szCs w:val="20"/>
        </w:rPr>
      </w:pPr>
    </w:p>
    <w:p w14:paraId="50D6B6D4" w14:textId="182A4A89" w:rsidR="00C800CE" w:rsidRDefault="00C800CE" w:rsidP="00C800CE">
      <w:pPr>
        <w:autoSpaceDE w:val="0"/>
        <w:autoSpaceDN w:val="0"/>
        <w:adjustRightInd w:val="0"/>
        <w:spacing w:after="0" w:line="240" w:lineRule="auto"/>
        <w:jc w:val="both"/>
        <w:rPr>
          <w:b/>
          <w:bCs/>
        </w:rPr>
      </w:pPr>
      <w:r w:rsidRPr="000F6349">
        <w:rPr>
          <w:b/>
          <w:bCs/>
        </w:rPr>
        <w:t>Grafica No. 1 Producto Interno Bruto (PIB) Variación Porcentual anual 2014-2020</w:t>
      </w:r>
    </w:p>
    <w:p w14:paraId="5830B729" w14:textId="77777777" w:rsidR="00C800CE" w:rsidRPr="000F6349" w:rsidRDefault="00C800CE" w:rsidP="00C800CE">
      <w:pPr>
        <w:autoSpaceDE w:val="0"/>
        <w:autoSpaceDN w:val="0"/>
        <w:adjustRightInd w:val="0"/>
        <w:spacing w:after="0" w:line="240" w:lineRule="auto"/>
        <w:jc w:val="both"/>
        <w:rPr>
          <w:rFonts w:ascii="Calibri" w:hAnsi="Calibri" w:cs="Calibri"/>
          <w:b/>
          <w:bCs/>
          <w:color w:val="000000"/>
        </w:rPr>
      </w:pPr>
    </w:p>
    <w:p w14:paraId="5FEF790F" w14:textId="0D748F35" w:rsidR="00C800CE" w:rsidRDefault="009B18EA" w:rsidP="00C800CE">
      <w:pPr>
        <w:tabs>
          <w:tab w:val="left" w:pos="284"/>
        </w:tabs>
        <w:jc w:val="both"/>
        <w:rPr>
          <w:rFonts w:ascii="TeamViewer15" w:hAnsi="TeamViewer15"/>
          <w:noProof/>
          <w:lang w:val="es-ES" w:eastAsia="es-ES"/>
        </w:rPr>
      </w:pPr>
      <w:r w:rsidRPr="009B18EA">
        <w:rPr>
          <w:rFonts w:ascii="TeamViewer15" w:hAnsi="TeamViewer15"/>
          <w:noProof/>
          <w:lang w:val="es-ES" w:eastAsia="es-ES"/>
        </w:rPr>
        <w:drawing>
          <wp:inline distT="0" distB="0" distL="0" distR="0" wp14:anchorId="4BA6A272" wp14:editId="3C901DC2">
            <wp:extent cx="5186149" cy="2742884"/>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6149" cy="2742884"/>
                    </a:xfrm>
                    <a:prstGeom prst="rect">
                      <a:avLst/>
                    </a:prstGeom>
                  </pic:spPr>
                </pic:pic>
              </a:graphicData>
            </a:graphic>
          </wp:inline>
        </w:drawing>
      </w:r>
    </w:p>
    <w:p w14:paraId="07A84CDD" w14:textId="77777777" w:rsidR="009B18EA" w:rsidRDefault="009B18EA" w:rsidP="00AA188D">
      <w:pPr>
        <w:pStyle w:val="Sinespaciado"/>
        <w:jc w:val="both"/>
      </w:pPr>
      <w:r>
        <w:lastRenderedPageBreak/>
        <w:t xml:space="preserve">En el segundo trimestre de 2020pr, el Producto Interno Bruto, en su serie original, decrece 15,7% respecto al mismo periodo de 2019 (ver tabla 1). Las actividades económicas que más contribuyen a la dinámica del valor agregado son: </w:t>
      </w:r>
    </w:p>
    <w:p w14:paraId="420B815F" w14:textId="77777777" w:rsidR="009B18EA" w:rsidRDefault="009B18EA" w:rsidP="00AA188D">
      <w:pPr>
        <w:pStyle w:val="Sinespaciado"/>
        <w:jc w:val="both"/>
      </w:pPr>
      <w:r>
        <w:t xml:space="preserve">• Comercio al por mayor y al por menor; reparación de vehículos automotores y motocicletas; Transporte y almacenamiento; Alojamiento y servicios de comida decrece 34,3% (contribuye -6,6 puntos porcentuales a la variación anual). </w:t>
      </w:r>
    </w:p>
    <w:p w14:paraId="0F586DF1" w14:textId="77777777" w:rsidR="009B18EA" w:rsidRDefault="009B18EA" w:rsidP="00AA188D">
      <w:pPr>
        <w:pStyle w:val="Sinespaciado"/>
        <w:jc w:val="both"/>
      </w:pPr>
      <w:r>
        <w:t xml:space="preserve">• Industrias manufactureras decrece 25,4% (contribuye -3,1 puntos porcentuales a la variación anual). </w:t>
      </w:r>
    </w:p>
    <w:p w14:paraId="6500C5D5" w14:textId="77777777" w:rsidR="009B18EA" w:rsidRDefault="009B18EA" w:rsidP="00AA188D">
      <w:pPr>
        <w:pStyle w:val="Sinespaciado"/>
        <w:jc w:val="both"/>
      </w:pPr>
      <w:r>
        <w:t xml:space="preserve">• Construcción decrece 31,7% (contribuye -2,1 puntos porcentuales a la variación anual). Respecto al trimestre inmediatamente anterior, el Producto Interno Bruto en su serie corregida de efecto estacional y calendario decrece 14,9%. Esta variación se explica principalmente por la siguiente dinámica: </w:t>
      </w:r>
    </w:p>
    <w:p w14:paraId="7A0FAF19" w14:textId="77777777" w:rsidR="009B18EA" w:rsidRDefault="009B18EA" w:rsidP="00AA188D">
      <w:pPr>
        <w:pStyle w:val="Sinespaciado"/>
        <w:jc w:val="both"/>
      </w:pPr>
      <w:r>
        <w:t xml:space="preserve">• Actividades artísticas, de entretenimiento y recreación y otras actividades de servicios; Actividades de los hogares individuales en calidad de empleadores decrece 34,9%. </w:t>
      </w:r>
    </w:p>
    <w:p w14:paraId="67809279" w14:textId="77777777" w:rsidR="009B18EA" w:rsidRDefault="009B18EA" w:rsidP="00AA188D">
      <w:pPr>
        <w:pStyle w:val="Sinespaciado"/>
        <w:jc w:val="both"/>
      </w:pPr>
      <w:r>
        <w:t xml:space="preserve">• Comercio al por mayor y al por menor; reparación de vehículos automotores y motocicletas; Transporte y almacenamiento; Alojamiento y servicios de comida decrece 33,7%. </w:t>
      </w:r>
    </w:p>
    <w:p w14:paraId="5431069B" w14:textId="46BD4EB0" w:rsidR="00C800CE" w:rsidRDefault="009B18EA" w:rsidP="00AA188D">
      <w:pPr>
        <w:pStyle w:val="Sinespaciado"/>
        <w:jc w:val="both"/>
      </w:pPr>
      <w:r>
        <w:t>• Construcción decrece 24,8%</w:t>
      </w:r>
    </w:p>
    <w:p w14:paraId="77D74EF5" w14:textId="77777777" w:rsidR="00C800CE" w:rsidRDefault="00C800CE" w:rsidP="00C800CE">
      <w:pPr>
        <w:pStyle w:val="Sinespaciado"/>
      </w:pPr>
      <w:r w:rsidRPr="009D69CA">
        <w:rPr>
          <w:noProof/>
        </w:rPr>
        <w:drawing>
          <wp:inline distT="0" distB="0" distL="0" distR="0" wp14:anchorId="25A5B293" wp14:editId="60C06D45">
            <wp:extent cx="5416716" cy="40132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3167" cy="4025388"/>
                    </a:xfrm>
                    <a:prstGeom prst="rect">
                      <a:avLst/>
                    </a:prstGeom>
                  </pic:spPr>
                </pic:pic>
              </a:graphicData>
            </a:graphic>
          </wp:inline>
        </w:drawing>
      </w:r>
    </w:p>
    <w:p w14:paraId="19FD075D" w14:textId="77777777" w:rsidR="00C800CE" w:rsidRDefault="00C800CE" w:rsidP="00C800CE">
      <w:pPr>
        <w:pStyle w:val="Sinespaciado"/>
      </w:pPr>
    </w:p>
    <w:p w14:paraId="1B104617" w14:textId="77777777" w:rsidR="00C800CE" w:rsidRPr="00211163" w:rsidRDefault="00C800CE" w:rsidP="00C800CE">
      <w:pPr>
        <w:pStyle w:val="Sinespaciado"/>
        <w:jc w:val="both"/>
        <w:rPr>
          <w:rFonts w:cs="Calibri"/>
        </w:rPr>
      </w:pPr>
      <w:r w:rsidRPr="00211163">
        <w:rPr>
          <w:rFonts w:cs="Calibri"/>
        </w:rPr>
        <w:t xml:space="preserve">En el primer trimestre de 2020pr, el valor agregado de comercio al por mayor y al por menor, reparación de vehículos automotores y motocicletas; transporte y almacenamiento; alojamiento y servicios de comida crece 0,9% en su serie original, respecto al mismo periodo de 2019pr. Esta dinámica se explica por los siguientes comportamientos (ver tabla 2): </w:t>
      </w:r>
    </w:p>
    <w:p w14:paraId="5A5DA8E3" w14:textId="77777777" w:rsidR="00C800CE" w:rsidRPr="00211163" w:rsidRDefault="00C800CE" w:rsidP="00C800CE">
      <w:pPr>
        <w:pStyle w:val="Sinespaciado"/>
        <w:jc w:val="both"/>
        <w:rPr>
          <w:rFonts w:cs="Calibri"/>
        </w:rPr>
      </w:pPr>
      <w:r w:rsidRPr="00211163">
        <w:rPr>
          <w:rFonts w:cs="Calibri"/>
        </w:rPr>
        <w:lastRenderedPageBreak/>
        <w:sym w:font="Symbol" w:char="F0B7"/>
      </w:r>
      <w:r w:rsidRPr="00211163">
        <w:rPr>
          <w:rFonts w:cs="Calibri"/>
        </w:rPr>
        <w:t xml:space="preserve"> Comercio al por mayor y al por menor; reparación de vehículos automotores y motocicletas crece 4,7%. </w:t>
      </w:r>
    </w:p>
    <w:p w14:paraId="5624DFB6" w14:textId="77777777" w:rsidR="00C800CE" w:rsidRPr="00211163" w:rsidRDefault="00C800CE" w:rsidP="00C800CE">
      <w:pPr>
        <w:pStyle w:val="Sinespaciado"/>
        <w:jc w:val="both"/>
        <w:rPr>
          <w:rFonts w:cs="Calibri"/>
        </w:rPr>
      </w:pPr>
      <w:r w:rsidRPr="00211163">
        <w:rPr>
          <w:rFonts w:cs="Calibri"/>
        </w:rPr>
        <w:sym w:font="Symbol" w:char="F0B7"/>
      </w:r>
      <w:r w:rsidRPr="00211163">
        <w:rPr>
          <w:rFonts w:cs="Calibri"/>
        </w:rPr>
        <w:t xml:space="preserve"> Transporte y almacenamiento crece 0,6%. </w:t>
      </w:r>
    </w:p>
    <w:p w14:paraId="5FA71B63" w14:textId="77777777" w:rsidR="00C800CE" w:rsidRPr="00211163" w:rsidRDefault="00C800CE" w:rsidP="00C800CE">
      <w:pPr>
        <w:pStyle w:val="Sinespaciado"/>
        <w:jc w:val="both"/>
        <w:rPr>
          <w:rFonts w:cs="Calibri"/>
        </w:rPr>
      </w:pPr>
      <w:r w:rsidRPr="00211163">
        <w:rPr>
          <w:rFonts w:cs="Calibri"/>
        </w:rPr>
        <w:sym w:font="Symbol" w:char="F0B7"/>
      </w:r>
      <w:r w:rsidRPr="00211163">
        <w:rPr>
          <w:rFonts w:cs="Calibri"/>
        </w:rPr>
        <w:t xml:space="preserve"> Alojamiento y servicios de comida decrece 7,5%. </w:t>
      </w:r>
    </w:p>
    <w:p w14:paraId="28D28FBD" w14:textId="77777777" w:rsidR="00C800CE" w:rsidRPr="00211163" w:rsidRDefault="00C800CE" w:rsidP="00C800CE">
      <w:pPr>
        <w:pStyle w:val="Sinespaciado"/>
        <w:jc w:val="both"/>
        <w:rPr>
          <w:rFonts w:cs="Calibri"/>
        </w:rPr>
      </w:pPr>
    </w:p>
    <w:p w14:paraId="30E11948" w14:textId="77777777" w:rsidR="00C800CE" w:rsidRPr="00211163" w:rsidRDefault="00C800CE" w:rsidP="00C800CE">
      <w:pPr>
        <w:pStyle w:val="Sinespaciado"/>
        <w:jc w:val="both"/>
        <w:rPr>
          <w:rFonts w:cs="Calibri"/>
        </w:rPr>
      </w:pPr>
      <w:r w:rsidRPr="00211163">
        <w:rPr>
          <w:rFonts w:cs="Calibri"/>
        </w:rPr>
        <w:t xml:space="preserve">Respecto al trimestre inmediatamente anterior en su serie corregida de efecto estacional y calendario, el valor agregado de comercio al por mayor y al por menor, reparación de vehículos automotores y motocicletas; transporte y almacenamiento; alojamiento y servicios de comida decrece en 3,2%, explicado por: </w:t>
      </w:r>
    </w:p>
    <w:p w14:paraId="4693ADE8" w14:textId="77777777" w:rsidR="00C800CE" w:rsidRPr="00211163" w:rsidRDefault="00C800CE" w:rsidP="00C800CE">
      <w:pPr>
        <w:pStyle w:val="Sinespaciado"/>
        <w:jc w:val="both"/>
        <w:rPr>
          <w:rFonts w:cs="Calibri"/>
        </w:rPr>
      </w:pPr>
      <w:r w:rsidRPr="00211163">
        <w:rPr>
          <w:rFonts w:cs="Calibri"/>
        </w:rPr>
        <w:sym w:font="Symbol" w:char="F0B7"/>
      </w:r>
      <w:r w:rsidRPr="00211163">
        <w:rPr>
          <w:rFonts w:cs="Calibri"/>
        </w:rPr>
        <w:t xml:space="preserve"> Comercio al por mayor y al por menor; reparación de vehículos automotores y motocicletas crece 0,9%. </w:t>
      </w:r>
    </w:p>
    <w:p w14:paraId="2A837373" w14:textId="77777777" w:rsidR="00C800CE" w:rsidRPr="00211163" w:rsidRDefault="00C800CE" w:rsidP="00C800CE">
      <w:pPr>
        <w:pStyle w:val="Sinespaciado"/>
        <w:jc w:val="both"/>
        <w:rPr>
          <w:rFonts w:cs="Calibri"/>
        </w:rPr>
      </w:pPr>
      <w:r w:rsidRPr="00211163">
        <w:rPr>
          <w:rFonts w:cs="Calibri"/>
        </w:rPr>
        <w:sym w:font="Symbol" w:char="F0B7"/>
      </w:r>
      <w:r w:rsidRPr="00211163">
        <w:rPr>
          <w:rFonts w:cs="Calibri"/>
        </w:rPr>
        <w:t xml:space="preserve"> Transporte y almacenamiento decrece 3,2%.</w:t>
      </w:r>
    </w:p>
    <w:p w14:paraId="0FF0D846" w14:textId="609DE0E7" w:rsidR="00C800CE" w:rsidRPr="00211163" w:rsidRDefault="00C800CE" w:rsidP="00C800CE">
      <w:pPr>
        <w:pStyle w:val="Sinespaciado"/>
        <w:jc w:val="both"/>
        <w:rPr>
          <w:rFonts w:cs="Calibri"/>
        </w:rPr>
      </w:pPr>
      <w:r w:rsidRPr="00211163">
        <w:rPr>
          <w:rFonts w:cs="Calibri"/>
        </w:rPr>
        <w:sym w:font="Symbol" w:char="F0B7"/>
      </w:r>
      <w:r w:rsidRPr="00211163">
        <w:rPr>
          <w:rFonts w:cs="Calibri"/>
        </w:rPr>
        <w:t xml:space="preserve"> Alojamiento y servicios de comida decrece 9,5%</w:t>
      </w:r>
    </w:p>
    <w:p w14:paraId="23C9E073" w14:textId="2A095B8B" w:rsidR="00C800CE" w:rsidRDefault="00C800CE" w:rsidP="00C800CE">
      <w:pPr>
        <w:pStyle w:val="Sinespaciado"/>
        <w:jc w:val="both"/>
        <w:rPr>
          <w:rFonts w:cs="Calibri"/>
        </w:rPr>
      </w:pPr>
    </w:p>
    <w:p w14:paraId="55F171AC" w14:textId="77777777" w:rsidR="009B18EA" w:rsidRPr="00734B5A" w:rsidRDefault="009B18EA" w:rsidP="00C800CE">
      <w:pPr>
        <w:autoSpaceDE w:val="0"/>
        <w:autoSpaceDN w:val="0"/>
        <w:adjustRightInd w:val="0"/>
        <w:spacing w:after="0" w:line="240" w:lineRule="auto"/>
        <w:rPr>
          <w:b/>
          <w:bCs/>
        </w:rPr>
      </w:pPr>
      <w:r w:rsidRPr="00734B5A">
        <w:rPr>
          <w:b/>
          <w:bCs/>
        </w:rPr>
        <w:t>Índice de Precios al Consumidor (IPC)</w:t>
      </w:r>
    </w:p>
    <w:p w14:paraId="06A5C4CC" w14:textId="77777777" w:rsidR="009B18EA" w:rsidRDefault="009B18EA" w:rsidP="00C800CE">
      <w:pPr>
        <w:autoSpaceDE w:val="0"/>
        <w:autoSpaceDN w:val="0"/>
        <w:adjustRightInd w:val="0"/>
        <w:spacing w:after="0" w:line="240" w:lineRule="auto"/>
      </w:pPr>
    </w:p>
    <w:p w14:paraId="2E4B3F2F" w14:textId="6586F297" w:rsidR="009B18EA" w:rsidRDefault="009B18EA" w:rsidP="00734B5A">
      <w:pPr>
        <w:autoSpaceDE w:val="0"/>
        <w:autoSpaceDN w:val="0"/>
        <w:adjustRightInd w:val="0"/>
        <w:spacing w:after="0" w:line="240" w:lineRule="auto"/>
        <w:jc w:val="both"/>
      </w:pPr>
      <w:r>
        <w:t>Índice de Precios al Consumidor (IPC) El Índice de Precios al Consumidor o IPC, es un número sobre el cual se acumulan a partir de un periodo base las variaciones promedio de los precios de los bienes y servicios consumidos por los hogares de un país, durante un periodo de tiempo. De manera más compleja se trata del indicador de la inflación de un país más conocido, y se constituye en un indicador de carácter coyuntural sobre el comportamiento de los precios minoristas de un país. Técnicamente el IPC es un índice de canasta fija, correspondiente a un periodo base en el tiempo, construido sobre una variante de los índices tipo Laspeyres, que permite una actualización más rápida de la canasta para seguimiento de precios, según evolucione o cambie el gasto de consumo de los hogares de un país.</w:t>
      </w:r>
    </w:p>
    <w:p w14:paraId="05158285" w14:textId="77777777" w:rsidR="00734B5A" w:rsidRDefault="00734B5A" w:rsidP="00734B5A">
      <w:pPr>
        <w:autoSpaceDE w:val="0"/>
        <w:autoSpaceDN w:val="0"/>
        <w:adjustRightInd w:val="0"/>
        <w:spacing w:after="0" w:line="240" w:lineRule="auto"/>
        <w:jc w:val="both"/>
        <w:rPr>
          <w:rFonts w:ascii="Calibri" w:hAnsi="Calibri" w:cs="Calibri"/>
          <w:b/>
          <w:bCs/>
          <w:color w:val="000000"/>
        </w:rPr>
      </w:pPr>
    </w:p>
    <w:p w14:paraId="5180C83D" w14:textId="10471894" w:rsidR="009B18EA" w:rsidRDefault="009B18EA" w:rsidP="00C800CE">
      <w:pPr>
        <w:autoSpaceDE w:val="0"/>
        <w:autoSpaceDN w:val="0"/>
        <w:adjustRightInd w:val="0"/>
        <w:spacing w:after="0" w:line="240" w:lineRule="auto"/>
        <w:rPr>
          <w:rFonts w:ascii="Calibri" w:hAnsi="Calibri" w:cs="Calibri"/>
          <w:b/>
          <w:bCs/>
          <w:color w:val="000000"/>
        </w:rPr>
      </w:pPr>
      <w:r w:rsidRPr="009B18EA">
        <w:rPr>
          <w:rFonts w:ascii="Calibri" w:hAnsi="Calibri" w:cs="Calibri"/>
          <w:b/>
          <w:bCs/>
          <w:noProof/>
          <w:color w:val="000000"/>
        </w:rPr>
        <w:drawing>
          <wp:inline distT="0" distB="0" distL="0" distR="0" wp14:anchorId="1286A755" wp14:editId="5307990A">
            <wp:extent cx="4183039" cy="2947722"/>
            <wp:effectExtent l="0" t="0" r="825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2431" cy="2954340"/>
                    </a:xfrm>
                    <a:prstGeom prst="rect">
                      <a:avLst/>
                    </a:prstGeom>
                  </pic:spPr>
                </pic:pic>
              </a:graphicData>
            </a:graphic>
          </wp:inline>
        </w:drawing>
      </w:r>
    </w:p>
    <w:p w14:paraId="0174694D" w14:textId="77777777" w:rsidR="009B18EA" w:rsidRDefault="009B18EA" w:rsidP="00C800CE">
      <w:pPr>
        <w:autoSpaceDE w:val="0"/>
        <w:autoSpaceDN w:val="0"/>
        <w:adjustRightInd w:val="0"/>
        <w:spacing w:after="0" w:line="240" w:lineRule="auto"/>
        <w:rPr>
          <w:rFonts w:ascii="Calibri" w:hAnsi="Calibri" w:cs="Calibri"/>
          <w:b/>
          <w:bCs/>
          <w:color w:val="000000"/>
        </w:rPr>
      </w:pPr>
    </w:p>
    <w:p w14:paraId="5616465A" w14:textId="3DF37C8C" w:rsidR="009B18EA" w:rsidRDefault="009B18EA" w:rsidP="00AA188D">
      <w:pPr>
        <w:autoSpaceDE w:val="0"/>
        <w:autoSpaceDN w:val="0"/>
        <w:adjustRightInd w:val="0"/>
        <w:spacing w:after="0" w:line="240" w:lineRule="auto"/>
        <w:jc w:val="both"/>
        <w:rPr>
          <w:rFonts w:ascii="Calibri" w:hAnsi="Calibri" w:cs="Calibri"/>
          <w:b/>
          <w:bCs/>
          <w:color w:val="000000"/>
        </w:rPr>
      </w:pPr>
      <w:r>
        <w:lastRenderedPageBreak/>
        <w:t>En el mes de julio de 2020, el IPC registró una variación de 0,00% en comparación con junio de 2020, ocho divisiones se ubicaron por encima del promedio nacional (0,00%): Salud (0,56%), Restaurantes y hoteles (0,27%), Transporte (0,25%), Bienes y servicios diversos (0,22%), Alojamiento, agua, electricidad, gas y otros combustibles (0,16%), Bebidas alcohólicas y tabaco (0,14%), Recreación y cultura (0,05%) y por último, Muebles, artículos para el hogar y para la conservación ordinaria del hogar (0,00%). Por debajo se ubicaron: Educación (0,00%), Información y comunicación (-0,02%), Prendas de vestir y calzado (-0,09%) y por último, Alimentos y bebidas no alcohólicas (-0,80%).</w:t>
      </w:r>
    </w:p>
    <w:p w14:paraId="20D256BD" w14:textId="1643D28F" w:rsidR="009B18EA" w:rsidRDefault="009B18EA" w:rsidP="00C800CE">
      <w:pPr>
        <w:autoSpaceDE w:val="0"/>
        <w:autoSpaceDN w:val="0"/>
        <w:adjustRightInd w:val="0"/>
        <w:spacing w:after="0" w:line="240" w:lineRule="auto"/>
        <w:rPr>
          <w:rFonts w:ascii="Calibri" w:hAnsi="Calibri" w:cs="Calibri"/>
          <w:b/>
          <w:bCs/>
          <w:color w:val="000000"/>
        </w:rPr>
      </w:pPr>
    </w:p>
    <w:p w14:paraId="25D928CC" w14:textId="2F95CC7B" w:rsidR="00C800CE" w:rsidRPr="00211163" w:rsidRDefault="00C800CE" w:rsidP="00C800CE">
      <w:pPr>
        <w:autoSpaceDE w:val="0"/>
        <w:autoSpaceDN w:val="0"/>
        <w:adjustRightInd w:val="0"/>
        <w:spacing w:after="0" w:line="240" w:lineRule="auto"/>
        <w:rPr>
          <w:rFonts w:ascii="Calibri" w:hAnsi="Calibri" w:cs="Calibri"/>
          <w:b/>
          <w:bCs/>
          <w:color w:val="000000"/>
        </w:rPr>
      </w:pPr>
      <w:r w:rsidRPr="00211163">
        <w:rPr>
          <w:rFonts w:ascii="Calibri" w:hAnsi="Calibri" w:cs="Calibri"/>
          <w:b/>
          <w:bCs/>
          <w:color w:val="000000"/>
        </w:rPr>
        <w:t xml:space="preserve">Información y comunicaciones </w:t>
      </w:r>
    </w:p>
    <w:p w14:paraId="16FECEC9" w14:textId="77777777" w:rsidR="00C800CE" w:rsidRPr="00211163" w:rsidRDefault="00C800CE" w:rsidP="00C800CE">
      <w:pPr>
        <w:autoSpaceDE w:val="0"/>
        <w:autoSpaceDN w:val="0"/>
        <w:adjustRightInd w:val="0"/>
        <w:spacing w:after="0" w:line="240" w:lineRule="auto"/>
        <w:rPr>
          <w:rFonts w:ascii="Calibri" w:hAnsi="Calibri" w:cs="Calibri"/>
          <w:color w:val="000000"/>
        </w:rPr>
      </w:pPr>
    </w:p>
    <w:p w14:paraId="484FC318" w14:textId="77777777" w:rsidR="00C800CE" w:rsidRPr="00211163" w:rsidRDefault="00C800CE" w:rsidP="00C800CE">
      <w:pPr>
        <w:tabs>
          <w:tab w:val="left" w:pos="284"/>
        </w:tabs>
        <w:jc w:val="both"/>
        <w:rPr>
          <w:rFonts w:ascii="Calibri" w:hAnsi="Calibri" w:cs="Calibri"/>
        </w:rPr>
      </w:pPr>
      <w:r w:rsidRPr="00211163">
        <w:rPr>
          <w:rFonts w:ascii="Calibri" w:hAnsi="Calibri" w:cs="Calibri"/>
        </w:rPr>
        <w:t xml:space="preserve">En el primer trimestre de 2020pr, el valor agregado de información y comunicaciones crece 1,4% en su serie original, respecto al mismo periodo de 2019pr. Para la serie corregida de efecto estacional y calendario, el valor agregado crece en 0,2%, respecto al trimestre inmediatamente anterior (ver tabla 8): </w:t>
      </w:r>
    </w:p>
    <w:p w14:paraId="36FC53E6" w14:textId="77777777" w:rsidR="00C800CE" w:rsidRDefault="00C800CE" w:rsidP="00C800CE">
      <w:pPr>
        <w:tabs>
          <w:tab w:val="left" w:pos="284"/>
        </w:tabs>
        <w:jc w:val="both"/>
        <w:rPr>
          <w:rFonts w:ascii="Arial" w:hAnsi="Arial" w:cs="Arial"/>
          <w:noProof/>
          <w:color w:val="000000"/>
          <w:lang w:val="es-ES" w:eastAsia="es-ES"/>
        </w:rPr>
      </w:pPr>
      <w:r w:rsidRPr="00572BF5">
        <w:rPr>
          <w:rFonts w:ascii="Arial" w:hAnsi="Arial" w:cs="Arial"/>
          <w:noProof/>
          <w:color w:val="000000"/>
          <w:lang w:val="es-ES" w:eastAsia="es-ES"/>
        </w:rPr>
        <w:drawing>
          <wp:inline distT="0" distB="0" distL="0" distR="0" wp14:anchorId="52DC611B" wp14:editId="6B862E56">
            <wp:extent cx="5612130" cy="1853565"/>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853565"/>
                    </a:xfrm>
                    <a:prstGeom prst="rect">
                      <a:avLst/>
                    </a:prstGeom>
                  </pic:spPr>
                </pic:pic>
              </a:graphicData>
            </a:graphic>
          </wp:inline>
        </w:drawing>
      </w:r>
    </w:p>
    <w:p w14:paraId="092B72C7" w14:textId="77777777" w:rsidR="00C800CE" w:rsidRPr="00211163" w:rsidRDefault="00C800CE" w:rsidP="00C800CE">
      <w:pPr>
        <w:autoSpaceDE w:val="0"/>
        <w:autoSpaceDN w:val="0"/>
        <w:adjustRightInd w:val="0"/>
        <w:spacing w:after="0" w:line="240" w:lineRule="auto"/>
        <w:jc w:val="both"/>
        <w:rPr>
          <w:rFonts w:ascii="Calibri" w:hAnsi="Calibri" w:cs="Calibri"/>
          <w:b/>
          <w:bCs/>
          <w:color w:val="000000"/>
        </w:rPr>
      </w:pPr>
      <w:r w:rsidRPr="00211163">
        <w:rPr>
          <w:rFonts w:ascii="Calibri" w:hAnsi="Calibri" w:cs="Calibri"/>
          <w:b/>
          <w:bCs/>
          <w:color w:val="000000"/>
        </w:rPr>
        <w:t xml:space="preserve">Sector de tecnologías de la información y la comunicación. </w:t>
      </w:r>
    </w:p>
    <w:p w14:paraId="62DEF610" w14:textId="77777777" w:rsidR="00C800CE" w:rsidRPr="00AA188D" w:rsidRDefault="00C800CE" w:rsidP="00C800CE">
      <w:pPr>
        <w:autoSpaceDE w:val="0"/>
        <w:autoSpaceDN w:val="0"/>
        <w:adjustRightInd w:val="0"/>
        <w:spacing w:after="0" w:line="240" w:lineRule="auto"/>
        <w:jc w:val="both"/>
        <w:rPr>
          <w:rFonts w:cstheme="minorHAnsi"/>
          <w:color w:val="000000"/>
        </w:rPr>
      </w:pPr>
    </w:p>
    <w:p w14:paraId="1976F6AF" w14:textId="77777777" w:rsidR="00087D11" w:rsidRPr="00AA188D" w:rsidRDefault="00087D11" w:rsidP="00AA188D">
      <w:pPr>
        <w:tabs>
          <w:tab w:val="left" w:pos="284"/>
        </w:tabs>
        <w:jc w:val="both"/>
        <w:rPr>
          <w:rFonts w:ascii="Calibri" w:hAnsi="Calibri" w:cs="Calibri"/>
        </w:rPr>
      </w:pPr>
      <w:r w:rsidRPr="00AA188D">
        <w:rPr>
          <w:rFonts w:ascii="Calibri" w:hAnsi="Calibri" w:cs="Calibri"/>
        </w:rPr>
        <w:t xml:space="preserve">En el entorno económico mundial La Organización para la Cooperación y el Desarrollo Económico (OCDE), prevé que la economía mundial crecerá la mitad si la crisis del coronavirus se alarga y agrava, de igual manera, alerta del riesgo de recesión en Europa, prevé que la economía global crezca 1,5% en 2020 en el peor de los escenarios, frente al 3,2% logrado el año pasado. El Fondo Monetario Internacional (FMI) indicó que el crecimiento global de 2020 caerá por debajo de los niveles de 2019, cuando registró una tasa de expansión del 2,9%, aunque reconoció que la magnitud es difícil de estimar dada la "elevada incertidumbre". En la actualidad, la economía del mundo se ha visto afectada por factores externos e internos que han incidido en la tasa de cambio. Los externos tienen que ver con los problemas en la economía de China y la incertidumbre en torno a la Reserva Federal de Estados Unidos sobre si subirá o no las tasas de interés, como también por el desplome en los precios del petróleo y otras materias primas que exportan los países emergentes, y la declaración de pandemia mundial por causa del virus COVID-19; dando como resultado el fortalecimiento del dólar en contra del peso colombiano y una perdida aproximada de un 70% del valor de su moneda debido a la devaluación en el último año. </w:t>
      </w:r>
    </w:p>
    <w:p w14:paraId="6E680E36" w14:textId="03E25864" w:rsidR="00087D11" w:rsidRPr="00AA188D" w:rsidRDefault="00087D11" w:rsidP="00AA188D">
      <w:pPr>
        <w:tabs>
          <w:tab w:val="left" w:pos="284"/>
        </w:tabs>
        <w:jc w:val="both"/>
        <w:rPr>
          <w:rFonts w:ascii="Calibri" w:hAnsi="Calibri" w:cs="Calibri"/>
        </w:rPr>
      </w:pPr>
      <w:r w:rsidRPr="00AA188D">
        <w:rPr>
          <w:rFonts w:ascii="Calibri" w:hAnsi="Calibri" w:cs="Calibri"/>
        </w:rPr>
        <w:lastRenderedPageBreak/>
        <w:t>Desde la aparición del coronavirus existe una tendencia donde las monedas de la región perdieron valor con respecto a la divisa estadounidense. el dólar terminó con un alza de 1,46% en México; 1,47% en Colombia; 0,55% en Brasil; 0,28% en Argentina y 0,25% en Chile. Así mismo, los colombianos que tienen de dudas en dólares y economías de activos fijos, salarios y rentas variables se verán afectados al disminuir el poder adquisitivo para las compras en dólares con la misma proporcionalidad que se incremente la devaluación del peso frente a este; así las cosas, en Colombia aumenta la inflación, el valor de los bienes importados, la deuda del país en dólares, además las deudas de las familias colombianas en dólares; por lo que se puede establecer que en la actualidad Colombia tiene una economía vulnerable; a nivel interno déficit en la cuenta corriente y déficit fiscal, y a nivel externo disminución del precio y aumento del dólar.</w:t>
      </w:r>
    </w:p>
    <w:p w14:paraId="1E929F61" w14:textId="28F625F4" w:rsidR="00C800CE" w:rsidRPr="00AA188D" w:rsidRDefault="00C800CE" w:rsidP="00C800CE">
      <w:pPr>
        <w:autoSpaceDE w:val="0"/>
        <w:autoSpaceDN w:val="0"/>
        <w:adjustRightInd w:val="0"/>
        <w:spacing w:after="0" w:line="240" w:lineRule="auto"/>
        <w:jc w:val="both"/>
        <w:rPr>
          <w:rFonts w:ascii="Calibri" w:hAnsi="Calibri" w:cs="Calibri"/>
        </w:rPr>
      </w:pPr>
      <w:r w:rsidRPr="00AA188D">
        <w:rPr>
          <w:rFonts w:ascii="Calibri" w:hAnsi="Calibri" w:cs="Calibri"/>
        </w:rPr>
        <w:t xml:space="preserve">El sector de tecnologías de la información y comunicación en Colombia ha tenido en términos generales rendimientos positivos en el último año. Según estadísticas del sector, las variaciones de crecimientos han tenido tendencias positivas debido a la innovación y al crecimiento exponencial que se vive, no solo en Colombia, sino a nivel global en los mercados tecnológicos, donde hoy en día la implementación de sistemas que optimicen procesos y hagan más eficiente el uso de los recursos, es más común y tiene mayor acogida. Lo anterior viene de la mano con los procesos de optimización de recursos para la producción de sistemas tecnológicos, donde en pocas palabras, hacer tecnología se ha vuelto más económico y rentable para las empresas. </w:t>
      </w:r>
    </w:p>
    <w:p w14:paraId="79F8FE5D" w14:textId="77777777" w:rsidR="00C800CE" w:rsidRPr="00211163" w:rsidRDefault="00C800CE" w:rsidP="00C800CE">
      <w:pPr>
        <w:autoSpaceDE w:val="0"/>
        <w:autoSpaceDN w:val="0"/>
        <w:adjustRightInd w:val="0"/>
        <w:spacing w:after="0" w:line="240" w:lineRule="auto"/>
        <w:rPr>
          <w:rFonts w:ascii="Calibri" w:hAnsi="Calibri" w:cs="Calibri"/>
          <w:color w:val="000000"/>
        </w:rPr>
      </w:pPr>
    </w:p>
    <w:p w14:paraId="6043237B" w14:textId="77777777" w:rsidR="00C800CE" w:rsidRPr="00211163" w:rsidRDefault="00C800CE" w:rsidP="00C800CE">
      <w:pPr>
        <w:autoSpaceDE w:val="0"/>
        <w:autoSpaceDN w:val="0"/>
        <w:adjustRightInd w:val="0"/>
        <w:spacing w:after="0" w:line="240" w:lineRule="auto"/>
        <w:rPr>
          <w:rFonts w:ascii="Calibri" w:hAnsi="Calibri" w:cs="Calibri"/>
          <w:color w:val="000000"/>
        </w:rPr>
      </w:pPr>
      <w:r w:rsidRPr="00211163">
        <w:rPr>
          <w:rFonts w:ascii="Calibri" w:hAnsi="Calibri" w:cs="Calibri"/>
          <w:color w:val="000000"/>
        </w:rPr>
        <w:t xml:space="preserve">Los empresarios del sector confirman que el país se ha venido consolidando como uno de los destinos preferidos de América Latina para las empresas multinacionales proveedoras de servicios de seguridad digital y redes de infraestructura en línea. </w:t>
      </w:r>
    </w:p>
    <w:p w14:paraId="0AB4FC87" w14:textId="77777777" w:rsidR="00C800CE" w:rsidRPr="00211163" w:rsidRDefault="00C800CE" w:rsidP="00C800CE">
      <w:pPr>
        <w:pStyle w:val="Sinespaciado"/>
      </w:pPr>
    </w:p>
    <w:p w14:paraId="5C488E86" w14:textId="77777777" w:rsidR="00C800CE" w:rsidRPr="00211163" w:rsidRDefault="00C800CE" w:rsidP="00C800CE">
      <w:pPr>
        <w:pStyle w:val="Sinespaciado"/>
        <w:jc w:val="both"/>
      </w:pPr>
      <w:r w:rsidRPr="00211163">
        <w:t>El sector TIC en Colombia es evaluado desde varios puntos de vista. Por un lado, se establecen las consideraciones a como los procesos de Innovación y Desarrollo (I+D) se han ido afianzando en el país, logrando mejores coberturas y llevando a Colombia a ser un país en desarrollo con niveles tecnológicos en crecimiento en todas sus industrias.</w:t>
      </w:r>
    </w:p>
    <w:p w14:paraId="66908F75" w14:textId="77777777" w:rsidR="00C800CE" w:rsidRPr="00E8550A" w:rsidRDefault="00C800CE" w:rsidP="00C800CE">
      <w:pPr>
        <w:pStyle w:val="Sinespaciado"/>
        <w:rPr>
          <w:rFonts w:ascii="TeamViewer15" w:hAnsi="TeamViewer15"/>
          <w:sz w:val="20"/>
          <w:szCs w:val="20"/>
        </w:rPr>
      </w:pPr>
    </w:p>
    <w:p w14:paraId="2F3F2983" w14:textId="3D068E32" w:rsidR="00C800CE" w:rsidRDefault="00C800CE" w:rsidP="00C800CE">
      <w:pPr>
        <w:pStyle w:val="Sinespaciado"/>
        <w:jc w:val="both"/>
        <w:rPr>
          <w:sz w:val="20"/>
          <w:szCs w:val="20"/>
        </w:rPr>
      </w:pPr>
      <w:r w:rsidRPr="00165357">
        <w:rPr>
          <w:rFonts w:ascii="TeamViewer15" w:hAnsi="TeamViewer15"/>
          <w:noProof/>
          <w:lang w:val="es-ES" w:eastAsia="es-ES"/>
        </w:rPr>
        <w:drawing>
          <wp:inline distT="0" distB="0" distL="0" distR="0" wp14:anchorId="47FC24D7" wp14:editId="2F1E27BE">
            <wp:extent cx="5152678" cy="259962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6589" cy="2606646"/>
                    </a:xfrm>
                    <a:prstGeom prst="rect">
                      <a:avLst/>
                    </a:prstGeom>
                    <a:noFill/>
                    <a:ln>
                      <a:noFill/>
                    </a:ln>
                  </pic:spPr>
                </pic:pic>
              </a:graphicData>
            </a:graphic>
          </wp:inline>
        </w:drawing>
      </w:r>
    </w:p>
    <w:p w14:paraId="3263F866" w14:textId="77777777" w:rsidR="00DA7030" w:rsidRPr="00211163" w:rsidRDefault="00DA7030" w:rsidP="00DA7030">
      <w:pPr>
        <w:autoSpaceDE w:val="0"/>
        <w:autoSpaceDN w:val="0"/>
        <w:adjustRightInd w:val="0"/>
        <w:spacing w:after="0" w:line="240" w:lineRule="auto"/>
        <w:jc w:val="both"/>
        <w:rPr>
          <w:rFonts w:ascii="Calibri" w:hAnsi="Calibri" w:cs="Calibri"/>
          <w:color w:val="000000"/>
        </w:rPr>
      </w:pPr>
      <w:r w:rsidRPr="00211163">
        <w:rPr>
          <w:rFonts w:ascii="Calibri" w:hAnsi="Calibri" w:cs="Calibri"/>
          <w:color w:val="000000"/>
        </w:rPr>
        <w:lastRenderedPageBreak/>
        <w:t xml:space="preserve">Y es a partir de este punto, donde el sector tecnológico se ha ido consolidando, el crecimiento en participación de las empresas en el mercado donde el mayor porcentaje es delegado a las denominadas startups que poco a poco tienen más penetración del mercado, por otro lado, la alta facturación de empresas que se dedican a consultoría en el sector igualmente es muestra del crecimiento del mismo. </w:t>
      </w:r>
    </w:p>
    <w:p w14:paraId="403D27B6" w14:textId="77777777" w:rsidR="00DA7030" w:rsidRPr="00211163" w:rsidRDefault="00DA7030" w:rsidP="00DA7030">
      <w:pPr>
        <w:autoSpaceDE w:val="0"/>
        <w:autoSpaceDN w:val="0"/>
        <w:adjustRightInd w:val="0"/>
        <w:spacing w:after="0" w:line="240" w:lineRule="auto"/>
        <w:rPr>
          <w:rFonts w:ascii="Arial" w:hAnsi="Arial" w:cs="Arial"/>
          <w:color w:val="000000"/>
        </w:rPr>
      </w:pPr>
    </w:p>
    <w:p w14:paraId="052955F9" w14:textId="77777777" w:rsidR="00DA7030" w:rsidRPr="00211163" w:rsidRDefault="00DA7030" w:rsidP="00DA7030">
      <w:pPr>
        <w:tabs>
          <w:tab w:val="left" w:pos="284"/>
        </w:tabs>
        <w:jc w:val="both"/>
        <w:rPr>
          <w:rFonts w:ascii="Calibri" w:hAnsi="Calibri" w:cs="Calibri"/>
          <w:color w:val="000000"/>
        </w:rPr>
      </w:pPr>
      <w:r w:rsidRPr="00211163">
        <w:rPr>
          <w:rFonts w:ascii="Calibri" w:hAnsi="Calibri" w:cs="Calibri"/>
          <w:color w:val="000000"/>
        </w:rPr>
        <w:t>Por otro lado, en términos tributarios el sector ha tenido vulnerabilidades, la cual se ha procesado de manera diversa a través de las diferentes ramas del sector. Por un lado, el comercio electrónico se ha mostrado inconforme con el gravamen a las plataformas tecnológicas internacionales, el sector de telecomunicaciones igualmente se manifestó de manera negativa ante la decisión tomada a finales de 2016 de gravar aún más los servicios de telefonía móvil y datos, finalmente la industria de software expuso su preocupación de una posible recesión de la innovación al ver afectado el beneficio fiscal con el que cuenta la industria hace más de 14 años.</w:t>
      </w:r>
    </w:p>
    <w:p w14:paraId="1DD3F7AB" w14:textId="7CBB2BCC" w:rsidR="00DA7030" w:rsidRDefault="00DA7030" w:rsidP="00DA7030">
      <w:pPr>
        <w:autoSpaceDE w:val="0"/>
        <w:autoSpaceDN w:val="0"/>
        <w:adjustRightInd w:val="0"/>
        <w:spacing w:after="0" w:line="240" w:lineRule="auto"/>
        <w:jc w:val="both"/>
        <w:rPr>
          <w:rFonts w:ascii="Calibri" w:hAnsi="Calibri" w:cs="Calibri"/>
          <w:color w:val="000000"/>
        </w:rPr>
      </w:pPr>
      <w:r w:rsidRPr="00211163">
        <w:rPr>
          <w:rFonts w:ascii="Calibri" w:hAnsi="Calibri" w:cs="Calibri"/>
          <w:color w:val="000000"/>
        </w:rPr>
        <w:t xml:space="preserve">No obstante, en términos tributarios parte del sector también tubo oportunidades de mejora, como es el caso de la educación virtual para el desarrollo de contenidos digitales, así mismo, no existe gravámenes sobre el suministro de páginas web, servidores de hosting, y </w:t>
      </w:r>
      <w:proofErr w:type="spellStart"/>
      <w:r w:rsidRPr="00211163">
        <w:rPr>
          <w:rFonts w:ascii="Calibri" w:hAnsi="Calibri" w:cs="Calibri"/>
          <w:color w:val="000000"/>
        </w:rPr>
        <w:t>cloud</w:t>
      </w:r>
      <w:proofErr w:type="spellEnd"/>
      <w:r w:rsidRPr="00211163">
        <w:rPr>
          <w:rFonts w:ascii="Calibri" w:hAnsi="Calibri" w:cs="Calibri"/>
          <w:color w:val="000000"/>
        </w:rPr>
        <w:t xml:space="preserve"> </w:t>
      </w:r>
      <w:proofErr w:type="spellStart"/>
      <w:r w:rsidRPr="00211163">
        <w:rPr>
          <w:rFonts w:ascii="Calibri" w:hAnsi="Calibri" w:cs="Calibri"/>
          <w:color w:val="000000"/>
        </w:rPr>
        <w:t>computing</w:t>
      </w:r>
      <w:proofErr w:type="spellEnd"/>
      <w:r w:rsidRPr="00211163">
        <w:rPr>
          <w:rFonts w:ascii="Calibri" w:hAnsi="Calibri" w:cs="Calibri"/>
          <w:color w:val="000000"/>
        </w:rPr>
        <w:t xml:space="preserve">. </w:t>
      </w:r>
    </w:p>
    <w:p w14:paraId="338C34D6" w14:textId="77777777" w:rsidR="00EB61AD" w:rsidRPr="00211163" w:rsidRDefault="00EB61AD" w:rsidP="00DA7030">
      <w:pPr>
        <w:autoSpaceDE w:val="0"/>
        <w:autoSpaceDN w:val="0"/>
        <w:adjustRightInd w:val="0"/>
        <w:spacing w:after="0" w:line="240" w:lineRule="auto"/>
        <w:jc w:val="both"/>
        <w:rPr>
          <w:rFonts w:ascii="Calibri" w:hAnsi="Calibri" w:cs="Calibri"/>
          <w:color w:val="000000"/>
        </w:rPr>
      </w:pPr>
    </w:p>
    <w:p w14:paraId="5B4C2831" w14:textId="77777777" w:rsidR="00DA7030" w:rsidRPr="00211163" w:rsidRDefault="00DA7030" w:rsidP="00DA7030">
      <w:pPr>
        <w:autoSpaceDE w:val="0"/>
        <w:autoSpaceDN w:val="0"/>
        <w:adjustRightInd w:val="0"/>
        <w:spacing w:after="0" w:line="240" w:lineRule="auto"/>
        <w:jc w:val="both"/>
        <w:rPr>
          <w:rFonts w:ascii="Calibri" w:hAnsi="Calibri" w:cs="Calibri"/>
          <w:color w:val="000000"/>
        </w:rPr>
      </w:pPr>
      <w:r w:rsidRPr="00211163">
        <w:rPr>
          <w:rFonts w:ascii="Calibri" w:hAnsi="Calibri" w:cs="Calibri"/>
          <w:color w:val="000000"/>
        </w:rPr>
        <w:t xml:space="preserve">La tasa de cambio es una de las variables que más afectan el sector, ya que al ser servicios intangibles y con un alto grado de inversión extranjera se ve fuertemente correlacionado con los costos de los servicios en términos de moneda internacional. </w:t>
      </w:r>
    </w:p>
    <w:p w14:paraId="13AEBEF6" w14:textId="77777777" w:rsidR="00DA7030" w:rsidRPr="00211163" w:rsidRDefault="00DA7030" w:rsidP="00DA7030">
      <w:pPr>
        <w:autoSpaceDE w:val="0"/>
        <w:autoSpaceDN w:val="0"/>
        <w:adjustRightInd w:val="0"/>
        <w:spacing w:after="0" w:line="240" w:lineRule="auto"/>
        <w:rPr>
          <w:rFonts w:ascii="Arial" w:hAnsi="Arial" w:cs="Arial"/>
          <w:color w:val="000000"/>
        </w:rPr>
      </w:pPr>
    </w:p>
    <w:p w14:paraId="31E0B112" w14:textId="6862E657" w:rsidR="00DA7030" w:rsidRDefault="00DA7030" w:rsidP="00DA7030">
      <w:pPr>
        <w:tabs>
          <w:tab w:val="left" w:pos="284"/>
        </w:tabs>
        <w:jc w:val="both"/>
        <w:rPr>
          <w:rFonts w:ascii="Calibri" w:hAnsi="Calibri" w:cs="Calibri"/>
          <w:color w:val="000000"/>
        </w:rPr>
      </w:pPr>
      <w:r w:rsidRPr="00211163">
        <w:rPr>
          <w:rFonts w:ascii="Calibri" w:hAnsi="Calibri" w:cs="Calibri"/>
          <w:color w:val="000000"/>
        </w:rPr>
        <w:t>Por otro lado, la infraestructura necesaria para prestar los servicios de tecnología, parte de un proceso de Manufactura que requiere de insumos en su gran mayoría no producidos en el país (antenas, servidores, torres de comunicaciones, entre otros), con lo cual, ante alteraciones del dólar, se ve directamente afectado el costo de los insumos.</w:t>
      </w:r>
    </w:p>
    <w:p w14:paraId="352B8A2C" w14:textId="5FBC3808" w:rsidR="00087D11" w:rsidRPr="00AA188D" w:rsidRDefault="00087D11" w:rsidP="00DA7030">
      <w:pPr>
        <w:tabs>
          <w:tab w:val="left" w:pos="284"/>
        </w:tabs>
        <w:jc w:val="both"/>
        <w:rPr>
          <w:rFonts w:ascii="Calibri" w:hAnsi="Calibri" w:cs="Calibri"/>
          <w:color w:val="000000"/>
        </w:rPr>
      </w:pPr>
      <w:r w:rsidRPr="00AA188D">
        <w:rPr>
          <w:rFonts w:ascii="Calibri" w:hAnsi="Calibri" w:cs="Calibri"/>
          <w:color w:val="000000"/>
        </w:rPr>
        <w:t>De acuerdo con la Encuesta Anual de Servicios (EAS)6 ,</w:t>
      </w:r>
      <w:r w:rsidR="00AA188D">
        <w:rPr>
          <w:rFonts w:ascii="Calibri" w:hAnsi="Calibri" w:cs="Calibri"/>
          <w:color w:val="000000"/>
        </w:rPr>
        <w:t xml:space="preserve"> </w:t>
      </w:r>
      <w:r w:rsidRPr="00AA188D">
        <w:rPr>
          <w:rFonts w:ascii="Calibri" w:hAnsi="Calibri" w:cs="Calibri"/>
          <w:color w:val="000000"/>
        </w:rPr>
        <w:t>publicada el 14 de septiembre de 2020: La Encuesta Mensual de Servicios es una operación estadística por medio de la cual el Departamento Administrativo Nacional de Estadística (DANE) obtiene la información de las variables principales del sector servicios para el análisis de su evolución en el corto plazo.</w:t>
      </w:r>
    </w:p>
    <w:p w14:paraId="7C6A442B" w14:textId="4DA57757" w:rsidR="00863CCA" w:rsidRPr="00087D11" w:rsidRDefault="00087D11" w:rsidP="00DA7030">
      <w:pPr>
        <w:tabs>
          <w:tab w:val="left" w:pos="284"/>
        </w:tabs>
        <w:jc w:val="both"/>
        <w:rPr>
          <w:rFonts w:ascii="Calibri" w:hAnsi="Calibri" w:cs="Calibri"/>
          <w:b/>
          <w:bCs/>
        </w:rPr>
      </w:pPr>
      <w:r w:rsidRPr="00087D11">
        <w:rPr>
          <w:rFonts w:ascii="Calibri" w:hAnsi="Calibri" w:cs="Calibri"/>
          <w:b/>
          <w:bCs/>
        </w:rPr>
        <w:t xml:space="preserve">INFORMACION COMERCIAL </w:t>
      </w:r>
    </w:p>
    <w:p w14:paraId="5FE02CFB" w14:textId="1229FA75" w:rsidR="00087D11" w:rsidRPr="00AA188D" w:rsidRDefault="00087D11" w:rsidP="00DA7030">
      <w:pPr>
        <w:tabs>
          <w:tab w:val="left" w:pos="284"/>
        </w:tabs>
        <w:jc w:val="both"/>
        <w:rPr>
          <w:rFonts w:ascii="Calibri" w:hAnsi="Calibri" w:cs="Calibri"/>
          <w:color w:val="000000"/>
        </w:rPr>
      </w:pPr>
      <w:r w:rsidRPr="00AA188D">
        <w:rPr>
          <w:rFonts w:ascii="Calibri" w:hAnsi="Calibri" w:cs="Calibri"/>
          <w:color w:val="000000"/>
        </w:rPr>
        <w:t>De acuerdo con la clasificación del Portal de Información Empresarial (PIE) de la Super sociedades, el actual proceso contractual se encuentra clasificado en el Macro sector “Servicios de Información y Comunicaciones”, Sector “Desarrollo de Sistemas Informáticos, (Planificación, Análisis, diseño, programación, pruebas) consultaría informática y actividades relacionadas.”. Teniendo en cuenta que, según la Clasificación Industrial Internacional Uniforme de todas las actividades económicas (Rev. 4 adaptada para Colombia)-CIIU, las actividades requeridas se encuentran clasificadas en la actividad económica (J6202-V4) “Actividades de consultoría Informática y actividades de administración de instalaciones informáticas”.</w:t>
      </w:r>
    </w:p>
    <w:p w14:paraId="6F7A0283" w14:textId="36BF5BA5" w:rsidR="00087D11" w:rsidRDefault="00087D11" w:rsidP="00DA7030">
      <w:pPr>
        <w:tabs>
          <w:tab w:val="left" w:pos="284"/>
        </w:tabs>
        <w:jc w:val="both"/>
        <w:rPr>
          <w:rFonts w:ascii="Calibri" w:hAnsi="Calibri" w:cs="Calibri"/>
        </w:rPr>
      </w:pPr>
      <w:r w:rsidRPr="00087D11">
        <w:rPr>
          <w:noProof/>
        </w:rPr>
        <w:lastRenderedPageBreak/>
        <w:drawing>
          <wp:inline distT="0" distB="0" distL="0" distR="0" wp14:anchorId="662B8CC0" wp14:editId="6EA2E771">
            <wp:extent cx="4442346" cy="430840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4469" cy="4310465"/>
                    </a:xfrm>
                    <a:prstGeom prst="rect">
                      <a:avLst/>
                    </a:prstGeom>
                  </pic:spPr>
                </pic:pic>
              </a:graphicData>
            </a:graphic>
          </wp:inline>
        </w:drawing>
      </w:r>
    </w:p>
    <w:p w14:paraId="0EF8944D" w14:textId="77777777" w:rsidR="00087D11" w:rsidRPr="00AA188D" w:rsidRDefault="00087D11" w:rsidP="00087D11">
      <w:pPr>
        <w:tabs>
          <w:tab w:val="left" w:pos="284"/>
        </w:tabs>
        <w:jc w:val="both"/>
        <w:rPr>
          <w:b/>
          <w:bCs/>
        </w:rPr>
      </w:pPr>
      <w:r w:rsidRPr="00AA188D">
        <w:rPr>
          <w:b/>
          <w:bCs/>
        </w:rPr>
        <w:t>Desarrollo de sistemas informáticos y procesamiento de datos</w:t>
      </w:r>
    </w:p>
    <w:p w14:paraId="15B0DD2C" w14:textId="7EEE9C90" w:rsidR="00087D11" w:rsidRPr="00AA188D" w:rsidRDefault="00087D11" w:rsidP="00DA7030">
      <w:pPr>
        <w:tabs>
          <w:tab w:val="left" w:pos="284"/>
        </w:tabs>
        <w:jc w:val="both"/>
        <w:rPr>
          <w:rFonts w:ascii="Calibri" w:hAnsi="Calibri" w:cs="Calibri"/>
          <w:color w:val="000000"/>
        </w:rPr>
      </w:pPr>
      <w:r w:rsidRPr="00AA188D">
        <w:rPr>
          <w:rFonts w:ascii="Calibri" w:hAnsi="Calibri" w:cs="Calibri"/>
          <w:color w:val="000000"/>
        </w:rPr>
        <w:t>Variación anual: julio 2020 / julio 2019 En julio de 2020, los servicios de Desarrollo de sistemas informáticos y procesamiento de datos registraron un crecimiento de 4,5% en los ingresos nominales, el personal ocupado total presentó un crecimiento de 0,3% y los salarios registraron un crecimiento de 7,7%, en comparación con julio de 2019.</w:t>
      </w:r>
    </w:p>
    <w:p w14:paraId="22F949CF" w14:textId="134BB65F" w:rsidR="00087D11" w:rsidRDefault="00087D11" w:rsidP="00DA7030">
      <w:pPr>
        <w:tabs>
          <w:tab w:val="left" w:pos="284"/>
        </w:tabs>
        <w:jc w:val="both"/>
        <w:rPr>
          <w:rFonts w:ascii="Calibri" w:hAnsi="Calibri" w:cs="Calibri"/>
        </w:rPr>
      </w:pPr>
      <w:r w:rsidRPr="00087D11">
        <w:rPr>
          <w:rFonts w:ascii="Calibri" w:hAnsi="Calibri" w:cs="Calibri"/>
          <w:noProof/>
        </w:rPr>
        <w:lastRenderedPageBreak/>
        <w:drawing>
          <wp:inline distT="0" distB="0" distL="0" distR="0" wp14:anchorId="43CF8AAA" wp14:editId="4AC78E35">
            <wp:extent cx="4503761" cy="3937214"/>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08453" cy="3941316"/>
                    </a:xfrm>
                    <a:prstGeom prst="rect">
                      <a:avLst/>
                    </a:prstGeom>
                  </pic:spPr>
                </pic:pic>
              </a:graphicData>
            </a:graphic>
          </wp:inline>
        </w:drawing>
      </w:r>
    </w:p>
    <w:p w14:paraId="5AA01BB3" w14:textId="402834A7" w:rsidR="00087D11" w:rsidRPr="00AA188D" w:rsidRDefault="00087D11" w:rsidP="00DA7030">
      <w:pPr>
        <w:tabs>
          <w:tab w:val="left" w:pos="284"/>
        </w:tabs>
        <w:jc w:val="both"/>
        <w:rPr>
          <w:rFonts w:ascii="Calibri" w:hAnsi="Calibri" w:cs="Calibri"/>
          <w:color w:val="000000"/>
        </w:rPr>
      </w:pPr>
      <w:r w:rsidRPr="00AA188D">
        <w:rPr>
          <w:rFonts w:ascii="Calibri" w:hAnsi="Calibri" w:cs="Calibri"/>
          <w:color w:val="000000"/>
        </w:rPr>
        <w:t>En comparación con el mismo mes de 2019, en julio de 2020 los ingresos totales presentaron un aumento de 4,5%, que se explica por el incremento de 4,5% en los ingresos por servicios y de 9,2% en la venta de mercancías.</w:t>
      </w:r>
    </w:p>
    <w:p w14:paraId="6178D118" w14:textId="19A56030" w:rsidR="00087D11" w:rsidRPr="00AA188D" w:rsidRDefault="00087D11" w:rsidP="00DA7030">
      <w:pPr>
        <w:tabs>
          <w:tab w:val="left" w:pos="284"/>
        </w:tabs>
        <w:jc w:val="both"/>
        <w:rPr>
          <w:rFonts w:ascii="Calibri" w:hAnsi="Calibri" w:cs="Calibri"/>
          <w:color w:val="000000"/>
        </w:rPr>
      </w:pPr>
      <w:r w:rsidRPr="00AA188D">
        <w:rPr>
          <w:rFonts w:ascii="Calibri" w:hAnsi="Calibri" w:cs="Calibri"/>
          <w:color w:val="000000"/>
        </w:rPr>
        <w:t>Por su parte, los otros ingresos operacionales registraron una disminución 43,3%. En julio de 2020 el personal ocupado total presentó una variación de 0,3%, en comparación con julio de 2019, que se explica por el incremento de 5,6% en el personal permanente y de 6,8% en el personal contratado a través agencias. Por su parte, el personal temporal directo registró una disminución de 18,1%.</w:t>
      </w:r>
    </w:p>
    <w:p w14:paraId="7867E31B" w14:textId="19249682" w:rsidR="00087D11" w:rsidRPr="00AA188D" w:rsidRDefault="00087D11" w:rsidP="00DA7030">
      <w:pPr>
        <w:tabs>
          <w:tab w:val="left" w:pos="284"/>
        </w:tabs>
        <w:jc w:val="both"/>
        <w:rPr>
          <w:rFonts w:ascii="Calibri" w:hAnsi="Calibri" w:cs="Calibri"/>
          <w:color w:val="000000"/>
        </w:rPr>
      </w:pPr>
      <w:r w:rsidRPr="00AA188D">
        <w:rPr>
          <w:rFonts w:ascii="Calibri" w:hAnsi="Calibri" w:cs="Calibri"/>
          <w:color w:val="000000"/>
        </w:rPr>
        <w:t>Mientras que los salarios en julio de 2020 presentaron un aumento de 7,7%, en comparación con julio de 2019, que se explica por el incremento de 4,5% en los salarios del personal permanente.</w:t>
      </w:r>
    </w:p>
    <w:p w14:paraId="2BAEBCE3" w14:textId="2B28EA0C" w:rsidR="00087D11" w:rsidRPr="00AA188D" w:rsidRDefault="00087D11" w:rsidP="00DA7030">
      <w:pPr>
        <w:tabs>
          <w:tab w:val="left" w:pos="284"/>
        </w:tabs>
        <w:jc w:val="both"/>
        <w:rPr>
          <w:rFonts w:ascii="Calibri" w:hAnsi="Calibri" w:cs="Calibri"/>
          <w:color w:val="000000"/>
        </w:rPr>
      </w:pPr>
      <w:r w:rsidRPr="00AA188D">
        <w:rPr>
          <w:rFonts w:ascii="Calibri" w:hAnsi="Calibri" w:cs="Calibri"/>
          <w:color w:val="000000"/>
        </w:rPr>
        <w:t>Y según la Encuesta Anual de Comercio (EAC)7 de 2018 (publicada en diciembre de 2019), del monto total de 271,0 billones de pesos de ventas en el sector comercio realizadas por las empresas objeto de estudio en 2018, el comercio al por mayor participó con el 52,5% de las ventas (142,2 billones), seguido por el comercio al por menor (35,1%) con 95,1 billones y el comercio de vehículos automotores, motocicletas, sus partes y piezas (12,4%) con 33,7 billones de pesos. Lo anterior se puede observar en la siguiente gráfica.</w:t>
      </w:r>
    </w:p>
    <w:p w14:paraId="5BA79C82" w14:textId="2CFF73E2" w:rsidR="00087D11" w:rsidRDefault="00D40CC2" w:rsidP="00DA7030">
      <w:pPr>
        <w:tabs>
          <w:tab w:val="left" w:pos="284"/>
        </w:tabs>
        <w:jc w:val="both"/>
        <w:rPr>
          <w:rFonts w:ascii="Calibri" w:hAnsi="Calibri" w:cs="Calibri"/>
        </w:rPr>
      </w:pPr>
      <w:r w:rsidRPr="00D40CC2">
        <w:rPr>
          <w:rFonts w:ascii="Calibri" w:hAnsi="Calibri" w:cs="Calibri"/>
          <w:noProof/>
        </w:rPr>
        <w:lastRenderedPageBreak/>
        <w:drawing>
          <wp:inline distT="0" distB="0" distL="0" distR="0" wp14:anchorId="5F0D6B4F" wp14:editId="20DA971C">
            <wp:extent cx="4972306" cy="280684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2306" cy="2806844"/>
                    </a:xfrm>
                    <a:prstGeom prst="rect">
                      <a:avLst/>
                    </a:prstGeom>
                  </pic:spPr>
                </pic:pic>
              </a:graphicData>
            </a:graphic>
          </wp:inline>
        </w:drawing>
      </w:r>
    </w:p>
    <w:p w14:paraId="6CD850EF" w14:textId="7EE3F11B" w:rsidR="00D40CC2" w:rsidRPr="00AA188D" w:rsidRDefault="00D40CC2" w:rsidP="00DA7030">
      <w:pPr>
        <w:tabs>
          <w:tab w:val="left" w:pos="284"/>
        </w:tabs>
        <w:jc w:val="both"/>
        <w:rPr>
          <w:rFonts w:ascii="Calibri" w:hAnsi="Calibri" w:cs="Calibri"/>
          <w:color w:val="000000"/>
        </w:rPr>
      </w:pPr>
      <w:r w:rsidRPr="00AA188D">
        <w:rPr>
          <w:rFonts w:ascii="Calibri" w:hAnsi="Calibri" w:cs="Calibri"/>
          <w:color w:val="000000"/>
        </w:rPr>
        <w:t xml:space="preserve">Las entidades públicas deben estar a la vanguardia en el uso de tecnologías de la información para garantizar el cumplimiento de los objetivos misionales otorgados por la Constitución y la Ley, permitiendo un mejor desempeño de sus colaboradores y una mejor percepción a la ciudadanía que utiliza los servicios de la entidad. Con la transformación de la Estrategia de Gobierno en Línea a política de Gobierno Digital, se genera un nuevo enfoque en donde no sólo el Estado sino también los diferentes sectores de la sociedad son actores fundamentales para un desarrollo integral del Gobierno Digital en Colombia y en donde las necesidades y problemáticas del contexto determinan el uso de la tecnología y la forma como ésta puede aportar en la generación de valor público. En este sentido, el nuevo objetivo de la política de Gobierno Digital es el siguiente: “Promover el uso y aprovechamiento de las tecnologías de la información y las comunicaciones para consolidar un Estado y ciudadanos competitivos, proactivos, e innovadores, que generen valor público en un entorno de confianza digital”. </w:t>
      </w:r>
      <w:r w:rsidR="00AA188D" w:rsidRPr="00AA188D">
        <w:rPr>
          <w:rFonts w:ascii="Calibri" w:hAnsi="Calibri" w:cs="Calibri"/>
          <w:color w:val="000000"/>
        </w:rPr>
        <w:t>EL Departamento Administrativo de la Defensoría del Espacio Público – DADEP tomando</w:t>
      </w:r>
      <w:r w:rsidRPr="00AA188D">
        <w:rPr>
          <w:rFonts w:ascii="Calibri" w:hAnsi="Calibri" w:cs="Calibri"/>
          <w:color w:val="000000"/>
        </w:rPr>
        <w:t xml:space="preserve"> este enfoque de Gobierno y alineado con su visión, ha venido adoptando tecnologías de punta para un mejor desempeño de sus funcionarios, y de sus procesos de cara a la atención de la ciudadanía, generando canales virtuales de</w:t>
      </w:r>
      <w:r w:rsidR="00AA188D">
        <w:rPr>
          <w:rFonts w:ascii="Calibri" w:hAnsi="Calibri" w:cs="Calibri"/>
          <w:color w:val="000000"/>
        </w:rPr>
        <w:t xml:space="preserve"> atención al ciudadano y la prestación de los diferentes servicios que lidera.</w:t>
      </w:r>
    </w:p>
    <w:p w14:paraId="4DDE881B" w14:textId="170F13A1" w:rsidR="00087D11" w:rsidRDefault="00D40CC2" w:rsidP="00DA7030">
      <w:pPr>
        <w:tabs>
          <w:tab w:val="left" w:pos="284"/>
        </w:tabs>
        <w:jc w:val="both"/>
      </w:pPr>
      <w:r w:rsidRPr="00AA188D">
        <w:rPr>
          <w:rFonts w:ascii="Calibri" w:hAnsi="Calibri" w:cs="Calibri"/>
          <w:color w:val="000000"/>
        </w:rPr>
        <w:t xml:space="preserve">Esta adopción de tecnologías modernas de comunicación, colaboración y movilidad han permitido responder de manera eficaz en el cumplimiento de la misión de la Entidad en la coyuntura de la pandemia ocurrida por expansión del COVID 19, en donde cerca del 95% de funcionarios del </w:t>
      </w:r>
      <w:r w:rsidR="00AA188D">
        <w:rPr>
          <w:rFonts w:ascii="Calibri" w:hAnsi="Calibri" w:cs="Calibri"/>
          <w:color w:val="000000"/>
        </w:rPr>
        <w:t>DADEP</w:t>
      </w:r>
      <w:r w:rsidRPr="00AA188D">
        <w:rPr>
          <w:rFonts w:ascii="Calibri" w:hAnsi="Calibri" w:cs="Calibri"/>
          <w:color w:val="000000"/>
        </w:rPr>
        <w:t xml:space="preserve"> están operando y realizando sus actividades laborales desde casa. Desde el momento en que el Gobierno Nacional y las autoridades locales decretaron la emergencia sanitaria por la propagación del COVID-19, se ha masificado e intensificado el uso de las herramientas de colaboración (correo electrónico, video y audioconferencias, reuniones virtuales, entre otras)</w:t>
      </w:r>
      <w:r>
        <w:t xml:space="preserve"> incluidas en el licenciamiento </w:t>
      </w:r>
      <w:r w:rsidR="00AA188D">
        <w:t>que requiere el DADEP.</w:t>
      </w:r>
    </w:p>
    <w:p w14:paraId="046A9805" w14:textId="77777777" w:rsidR="00142F3F" w:rsidRPr="009A1C3D" w:rsidRDefault="00142F3F" w:rsidP="00142F3F">
      <w:pPr>
        <w:pStyle w:val="NormalWeb"/>
        <w:shd w:val="clear" w:color="auto" w:fill="FFFFFF"/>
        <w:jc w:val="both"/>
        <w:rPr>
          <w:rFonts w:asciiTheme="minorHAnsi" w:eastAsiaTheme="minorEastAsia" w:hAnsiTheme="minorHAnsi" w:cstheme="minorBidi"/>
          <w:sz w:val="22"/>
          <w:szCs w:val="22"/>
        </w:rPr>
      </w:pPr>
      <w:r w:rsidRPr="009A1C3D">
        <w:rPr>
          <w:rFonts w:asciiTheme="minorHAnsi" w:eastAsiaTheme="minorEastAsia" w:hAnsiTheme="minorHAnsi" w:cstheme="minorBidi"/>
          <w:sz w:val="22"/>
          <w:szCs w:val="22"/>
        </w:rPr>
        <w:lastRenderedPageBreak/>
        <w:t xml:space="preserve">Debido a lo anterior, la Entidad ha validado la opción de cambio de la plataforma de mensajería y colaborativa hacia Office 365. Si bien es cierto y es reconocido en el mercado que tanto </w:t>
      </w:r>
      <w:proofErr w:type="spellStart"/>
      <w:r w:rsidRPr="009A1C3D">
        <w:rPr>
          <w:rFonts w:asciiTheme="minorHAnsi" w:eastAsiaTheme="minorEastAsia" w:hAnsiTheme="minorHAnsi" w:cstheme="minorBidi"/>
          <w:sz w:val="22"/>
          <w:szCs w:val="22"/>
        </w:rPr>
        <w:t>Gsuite</w:t>
      </w:r>
      <w:proofErr w:type="spellEnd"/>
      <w:r w:rsidRPr="009A1C3D">
        <w:rPr>
          <w:rFonts w:asciiTheme="minorHAnsi" w:eastAsiaTheme="minorEastAsia" w:hAnsiTheme="minorHAnsi" w:cstheme="minorBidi"/>
          <w:sz w:val="22"/>
          <w:szCs w:val="22"/>
        </w:rPr>
        <w:t xml:space="preserve"> y Office365 ofrecen facilidades similares tales como correo electrónico, almacenamiento, trabajo colaborativo, aplicaciones en nube, video llamadas, entre otros. El análisis realizado determinó que al realizar el cambio la Entidad podrá obtener beneficios relacionados con:</w:t>
      </w:r>
    </w:p>
    <w:p w14:paraId="002FAB56" w14:textId="77777777" w:rsidR="00142F3F" w:rsidRPr="009A1C3D" w:rsidRDefault="00142F3F" w:rsidP="00142F3F">
      <w:pPr>
        <w:pStyle w:val="NormalWeb"/>
        <w:numPr>
          <w:ilvl w:val="0"/>
          <w:numId w:val="15"/>
        </w:numPr>
        <w:shd w:val="clear" w:color="auto" w:fill="FFFFFF"/>
        <w:spacing w:before="0" w:beforeAutospacing="0" w:after="0" w:afterAutospacing="0"/>
        <w:jc w:val="both"/>
        <w:rPr>
          <w:rFonts w:asciiTheme="minorHAnsi" w:eastAsiaTheme="minorEastAsia" w:hAnsiTheme="minorHAnsi" w:cstheme="minorBidi"/>
          <w:sz w:val="22"/>
          <w:szCs w:val="22"/>
        </w:rPr>
      </w:pPr>
      <w:r w:rsidRPr="009A1C3D">
        <w:rPr>
          <w:rFonts w:asciiTheme="minorHAnsi" w:eastAsiaTheme="minorEastAsia" w:hAnsiTheme="minorHAnsi" w:cstheme="minorBidi"/>
          <w:sz w:val="22"/>
          <w:szCs w:val="22"/>
        </w:rPr>
        <w:t xml:space="preserve">Alineación nativa con las plataformas tecnológicas con que actualmente cuenta la Entidad tal como la nube Azure, Project online, Directorio Activo y  Power BI </w:t>
      </w:r>
    </w:p>
    <w:p w14:paraId="2A787020" w14:textId="77777777" w:rsidR="00142F3F" w:rsidRPr="009A1C3D" w:rsidRDefault="00142F3F" w:rsidP="00142F3F">
      <w:pPr>
        <w:pStyle w:val="Prrafodelista"/>
        <w:numPr>
          <w:ilvl w:val="0"/>
          <w:numId w:val="15"/>
        </w:numPr>
        <w:spacing w:after="0" w:line="240" w:lineRule="auto"/>
        <w:contextualSpacing w:val="0"/>
        <w:jc w:val="both"/>
        <w:rPr>
          <w:rFonts w:eastAsiaTheme="minorEastAsia"/>
          <w:lang w:eastAsia="es-CO"/>
        </w:rPr>
      </w:pPr>
      <w:r w:rsidRPr="009A1C3D">
        <w:rPr>
          <w:rFonts w:eastAsiaTheme="minorEastAsia"/>
          <w:lang w:eastAsia="es-CO"/>
        </w:rPr>
        <w:t>Una característica que hace único al producto de Microsoft es la opción de descarga. Todas las aplicaciones profesionales de Microsoft 365 también están disponibles como versiones de escritorio y se pueden instalar desde la nube hasta en 5 dispositivos locales si se trata de la licencia tipo E3 y utilizarlos sin conexión.</w:t>
      </w:r>
    </w:p>
    <w:p w14:paraId="5D82BEBC" w14:textId="77777777" w:rsidR="00142F3F" w:rsidRPr="009A1C3D" w:rsidRDefault="00142F3F" w:rsidP="00142F3F">
      <w:pPr>
        <w:pStyle w:val="Prrafodelista"/>
        <w:numPr>
          <w:ilvl w:val="0"/>
          <w:numId w:val="15"/>
        </w:numPr>
        <w:spacing w:after="0" w:line="240" w:lineRule="auto"/>
        <w:contextualSpacing w:val="0"/>
        <w:jc w:val="both"/>
        <w:rPr>
          <w:rFonts w:eastAsiaTheme="minorEastAsia"/>
          <w:lang w:eastAsia="es-CO"/>
        </w:rPr>
      </w:pPr>
      <w:r w:rsidRPr="009A1C3D">
        <w:rPr>
          <w:rFonts w:eastAsiaTheme="minorEastAsia"/>
          <w:lang w:eastAsia="es-CO"/>
        </w:rPr>
        <w:t xml:space="preserve">G Suite también ofrece funciones offline para Google </w:t>
      </w:r>
      <w:proofErr w:type="spellStart"/>
      <w:r w:rsidRPr="009A1C3D">
        <w:rPr>
          <w:rFonts w:eastAsiaTheme="minorEastAsia"/>
          <w:lang w:eastAsia="es-CO"/>
        </w:rPr>
        <w:t>Docs</w:t>
      </w:r>
      <w:proofErr w:type="spellEnd"/>
      <w:r w:rsidRPr="009A1C3D">
        <w:rPr>
          <w:rFonts w:eastAsiaTheme="minorEastAsia"/>
          <w:lang w:eastAsia="es-CO"/>
        </w:rPr>
        <w:t xml:space="preserve">, </w:t>
      </w:r>
      <w:proofErr w:type="spellStart"/>
      <w:r w:rsidRPr="009A1C3D">
        <w:rPr>
          <w:rFonts w:eastAsiaTheme="minorEastAsia"/>
          <w:lang w:eastAsia="es-CO"/>
        </w:rPr>
        <w:t>Sheets</w:t>
      </w:r>
      <w:proofErr w:type="spellEnd"/>
      <w:r w:rsidRPr="009A1C3D">
        <w:rPr>
          <w:rFonts w:eastAsiaTheme="minorEastAsia"/>
          <w:lang w:eastAsia="es-CO"/>
        </w:rPr>
        <w:t xml:space="preserve"> y </w:t>
      </w:r>
      <w:proofErr w:type="spellStart"/>
      <w:r w:rsidRPr="009A1C3D">
        <w:rPr>
          <w:rFonts w:eastAsiaTheme="minorEastAsia"/>
          <w:lang w:eastAsia="es-CO"/>
        </w:rPr>
        <w:t>Slides</w:t>
      </w:r>
      <w:proofErr w:type="spellEnd"/>
      <w:r w:rsidRPr="009A1C3D">
        <w:rPr>
          <w:rFonts w:eastAsiaTheme="minorEastAsia"/>
          <w:lang w:eastAsia="es-CO"/>
        </w:rPr>
        <w:t>. Sin embargo, no en forma de una aplicación de escritorio, sino como una herramienta de la aplicación web. Para ello, es necesario utilizar Chrome como navegador y una </w:t>
      </w:r>
      <w:hyperlink r:id="rId17" w:tgtFrame="_blank" w:tooltip="Google Docs Offline en el Chrome Web Store" w:history="1">
        <w:r w:rsidRPr="009A1C3D">
          <w:rPr>
            <w:rFonts w:eastAsiaTheme="minorEastAsia"/>
            <w:lang w:eastAsia="es-CO"/>
          </w:rPr>
          <w:t>extensión para el uso offline</w:t>
        </w:r>
      </w:hyperlink>
      <w:r w:rsidRPr="009A1C3D">
        <w:rPr>
          <w:rFonts w:eastAsiaTheme="minorEastAsia"/>
          <w:lang w:eastAsia="es-CO"/>
        </w:rPr>
        <w:t>.</w:t>
      </w:r>
    </w:p>
    <w:p w14:paraId="46DE08F4" w14:textId="77777777" w:rsidR="00142F3F" w:rsidRPr="009A1C3D" w:rsidRDefault="00142F3F" w:rsidP="00142F3F">
      <w:pPr>
        <w:pStyle w:val="Prrafodelista"/>
        <w:numPr>
          <w:ilvl w:val="0"/>
          <w:numId w:val="15"/>
        </w:numPr>
        <w:spacing w:after="0" w:line="240" w:lineRule="auto"/>
        <w:contextualSpacing w:val="0"/>
        <w:jc w:val="both"/>
        <w:rPr>
          <w:rFonts w:eastAsiaTheme="minorEastAsia"/>
          <w:lang w:eastAsia="es-CO"/>
        </w:rPr>
      </w:pPr>
      <w:r w:rsidRPr="009A1C3D">
        <w:rPr>
          <w:rFonts w:eastAsiaTheme="minorEastAsia"/>
          <w:lang w:eastAsia="es-CO"/>
        </w:rPr>
        <w:t>Mientras que Microsoft pone 1 terabyte (TB) de almacenamiento en la nube a disposición de todos los usuarios de Microsoft 365, el volumen de almacenamiento disponible en G Suite depende de la versión del producto que se utilice y del número de licencias de usuario que asume la Entidad.</w:t>
      </w:r>
    </w:p>
    <w:p w14:paraId="577BA7D7" w14:textId="77777777" w:rsidR="00142F3F" w:rsidRPr="009A1C3D" w:rsidRDefault="00142F3F" w:rsidP="00142F3F">
      <w:pPr>
        <w:pStyle w:val="Prrafodelista"/>
        <w:numPr>
          <w:ilvl w:val="0"/>
          <w:numId w:val="15"/>
        </w:numPr>
        <w:spacing w:after="0" w:line="240" w:lineRule="auto"/>
        <w:contextualSpacing w:val="0"/>
        <w:jc w:val="both"/>
        <w:rPr>
          <w:rFonts w:eastAsiaTheme="minorEastAsia"/>
          <w:lang w:eastAsia="es-CO"/>
        </w:rPr>
      </w:pPr>
      <w:r w:rsidRPr="009A1C3D">
        <w:rPr>
          <w:rFonts w:eastAsiaTheme="minorEastAsia"/>
          <w:lang w:eastAsia="es-CO"/>
        </w:rPr>
        <w:t xml:space="preserve">Con </w:t>
      </w:r>
      <w:proofErr w:type="spellStart"/>
      <w:r w:rsidRPr="009A1C3D">
        <w:rPr>
          <w:rFonts w:eastAsiaTheme="minorEastAsia"/>
          <w:lang w:eastAsia="es-CO"/>
        </w:rPr>
        <w:t>Sites</w:t>
      </w:r>
      <w:proofErr w:type="spellEnd"/>
      <w:r w:rsidRPr="009A1C3D">
        <w:rPr>
          <w:rFonts w:eastAsiaTheme="minorEastAsia"/>
          <w:lang w:eastAsia="es-CO"/>
        </w:rPr>
        <w:t>, Google cuenta con un sistema intuitivo de plantillas que otorga un margen limitado de creatividad, mientras que Microsoft SharePoint es menos intuitivo, pero ofrece muchas más opciones de cara a implementar aplicaciones web internas.</w:t>
      </w:r>
    </w:p>
    <w:p w14:paraId="413A81C6" w14:textId="77777777" w:rsidR="00142F3F" w:rsidRPr="009A1C3D" w:rsidRDefault="00142F3F" w:rsidP="00142F3F">
      <w:pPr>
        <w:pStyle w:val="NormalWeb"/>
        <w:numPr>
          <w:ilvl w:val="0"/>
          <w:numId w:val="15"/>
        </w:numPr>
        <w:shd w:val="clear" w:color="auto" w:fill="FFFFFF"/>
        <w:spacing w:before="0" w:beforeAutospacing="0" w:after="0" w:afterAutospacing="0"/>
        <w:jc w:val="both"/>
        <w:rPr>
          <w:rFonts w:asciiTheme="minorHAnsi" w:eastAsiaTheme="minorEastAsia" w:hAnsiTheme="minorHAnsi" w:cstheme="minorBidi"/>
          <w:sz w:val="22"/>
          <w:szCs w:val="22"/>
        </w:rPr>
      </w:pPr>
      <w:r w:rsidRPr="009A1C3D">
        <w:rPr>
          <w:rFonts w:asciiTheme="minorHAnsi" w:eastAsiaTheme="minorEastAsia" w:hAnsiTheme="minorHAnsi" w:cstheme="minorBidi"/>
          <w:sz w:val="22"/>
          <w:szCs w:val="22"/>
        </w:rPr>
        <w:t>Precios, ya que actualmente, los precios de Office 365 resultan más beneficiosos para la Entidad, ofreciendo mayores capacidades</w:t>
      </w:r>
    </w:p>
    <w:p w14:paraId="3870CD3F" w14:textId="77777777" w:rsidR="00AA188D" w:rsidRPr="00211163" w:rsidRDefault="00AA188D" w:rsidP="00DA7030">
      <w:pPr>
        <w:tabs>
          <w:tab w:val="left" w:pos="284"/>
        </w:tabs>
        <w:jc w:val="both"/>
        <w:rPr>
          <w:rFonts w:ascii="Calibri" w:hAnsi="Calibri" w:cs="Calibri"/>
        </w:rPr>
      </w:pPr>
    </w:p>
    <w:p w14:paraId="735F7726" w14:textId="77777777" w:rsidR="00A6415F" w:rsidRPr="00211163" w:rsidRDefault="00A6415F" w:rsidP="00A6415F">
      <w:pPr>
        <w:pStyle w:val="Prrafodelista"/>
        <w:numPr>
          <w:ilvl w:val="0"/>
          <w:numId w:val="3"/>
        </w:numPr>
        <w:spacing w:after="160" w:line="259" w:lineRule="auto"/>
        <w:rPr>
          <w:rFonts w:ascii="Calibri" w:hAnsi="Calibri" w:cs="Calibri"/>
          <w:b/>
        </w:rPr>
      </w:pPr>
      <w:r w:rsidRPr="00211163">
        <w:rPr>
          <w:rFonts w:ascii="Calibri" w:hAnsi="Calibri" w:cs="Calibri"/>
          <w:b/>
        </w:rPr>
        <w:t xml:space="preserve">ANALISIS PERSPECTIVA TECNICA </w:t>
      </w:r>
    </w:p>
    <w:p w14:paraId="47F36FCC" w14:textId="77777777" w:rsidR="00142F3F" w:rsidRDefault="00142F3F" w:rsidP="00142F3F">
      <w:pPr>
        <w:spacing w:after="0" w:line="240" w:lineRule="auto"/>
        <w:ind w:left="284"/>
        <w:jc w:val="both"/>
      </w:pPr>
    </w:p>
    <w:p w14:paraId="6C466DDD" w14:textId="28E661DF" w:rsidR="00142F3F" w:rsidRPr="009A1C3D" w:rsidRDefault="00142F3F" w:rsidP="00142F3F">
      <w:pPr>
        <w:spacing w:after="0" w:line="240" w:lineRule="auto"/>
        <w:ind w:left="284"/>
        <w:jc w:val="both"/>
      </w:pPr>
      <w:r w:rsidRPr="009A1C3D">
        <w:t>Realizado el análisis, en Julio del 2020, la Oficina de Sistemas da inicio a un proceso de validación del producto Office365 en ambientes de pruebas del DADEP que permitió revisar varios escenarios y confirmar los beneficios esperados.</w:t>
      </w:r>
    </w:p>
    <w:p w14:paraId="64F1A07C" w14:textId="77777777" w:rsidR="00142F3F" w:rsidRPr="009A1C3D" w:rsidRDefault="00142F3F" w:rsidP="00142F3F">
      <w:pPr>
        <w:pStyle w:val="Prrafodelista"/>
        <w:spacing w:after="0" w:line="240" w:lineRule="auto"/>
        <w:ind w:left="644"/>
        <w:jc w:val="both"/>
      </w:pPr>
    </w:p>
    <w:p w14:paraId="24A68FC9" w14:textId="3CBF1D8B" w:rsidR="00142F3F" w:rsidRPr="009A1C3D" w:rsidRDefault="00142F3F" w:rsidP="00142F3F">
      <w:pPr>
        <w:spacing w:after="0" w:line="240" w:lineRule="auto"/>
        <w:ind w:left="284"/>
        <w:jc w:val="both"/>
      </w:pPr>
      <w:r w:rsidRPr="009A1C3D">
        <w:t xml:space="preserve">En la actualidad el DADEP cuenta con 370 cuentas de correo electrónico bajo la licencia G Suite Business, este licenciamiento vence el 30 de noviembre de 2020, por lo cual y una vez realizadas las validaciones y pruebas correspondientes, las licencias serán adquiridas a través de la plataforma Office 365, 110 adquiridas como </w:t>
      </w:r>
      <w:r w:rsidR="005C7C2E" w:rsidRPr="009A1C3D">
        <w:t>licenciamiento</w:t>
      </w:r>
      <w:r w:rsidRPr="009A1C3D">
        <w:t xml:space="preserve"> tipo E1 y E3. Las tipo E1 no incluyen paquete office</w:t>
      </w:r>
    </w:p>
    <w:p w14:paraId="24E6EA96" w14:textId="77777777" w:rsidR="00142F3F" w:rsidRPr="009A1C3D" w:rsidRDefault="00142F3F" w:rsidP="00142F3F">
      <w:pPr>
        <w:pStyle w:val="Prrafodelista"/>
        <w:spacing w:after="0" w:line="240" w:lineRule="auto"/>
        <w:ind w:left="644"/>
        <w:jc w:val="both"/>
      </w:pPr>
    </w:p>
    <w:p w14:paraId="49C24ACB" w14:textId="6386D113" w:rsidR="00142F3F" w:rsidRPr="009A1C3D" w:rsidRDefault="00142F3F" w:rsidP="00142F3F">
      <w:pPr>
        <w:spacing w:after="0" w:line="240" w:lineRule="auto"/>
        <w:ind w:left="284"/>
        <w:jc w:val="both"/>
      </w:pPr>
      <w:r w:rsidRPr="009A1C3D">
        <w:t xml:space="preserve">La razón por la cual se </w:t>
      </w:r>
      <w:r w:rsidR="005C7C2E" w:rsidRPr="009A1C3D">
        <w:t>diferenciarán</w:t>
      </w:r>
      <w:r w:rsidRPr="009A1C3D">
        <w:t xml:space="preserve"> en E1 y E3, es el aprovechamiento de la adquisición que la Entidad realizó en </w:t>
      </w:r>
      <w:r w:rsidR="005C7C2E" w:rsidRPr="009A1C3D">
        <w:t>diciembre</w:t>
      </w:r>
      <w:r w:rsidRPr="009A1C3D">
        <w:t xml:space="preserve"> de 2019 de 110 licencias office 2019 que serán puestas a disponibilidad de los funcionarios en conjunto con la licencia E1.</w:t>
      </w:r>
    </w:p>
    <w:p w14:paraId="5A791843" w14:textId="210499D4" w:rsidR="004310B9" w:rsidRDefault="004310B9" w:rsidP="00A6415F">
      <w:pPr>
        <w:spacing w:after="0" w:line="240" w:lineRule="auto"/>
        <w:jc w:val="both"/>
        <w:rPr>
          <w:rFonts w:cstheme="minorHAnsi"/>
          <w:b/>
          <w:sz w:val="16"/>
          <w:szCs w:val="16"/>
        </w:rPr>
      </w:pPr>
    </w:p>
    <w:p w14:paraId="42B72AE4" w14:textId="77777777" w:rsidR="004310B9" w:rsidRDefault="004310B9" w:rsidP="00A6415F">
      <w:pPr>
        <w:spacing w:after="0" w:line="240" w:lineRule="auto"/>
        <w:jc w:val="both"/>
        <w:rPr>
          <w:rFonts w:cstheme="minorHAnsi"/>
          <w:b/>
          <w:sz w:val="16"/>
          <w:szCs w:val="16"/>
        </w:rPr>
      </w:pPr>
    </w:p>
    <w:p w14:paraId="2C6A4206" w14:textId="233B5B78" w:rsidR="004310B9" w:rsidRDefault="004310B9" w:rsidP="00A6415F">
      <w:pPr>
        <w:spacing w:after="0" w:line="240" w:lineRule="auto"/>
        <w:jc w:val="both"/>
        <w:rPr>
          <w:rFonts w:cstheme="minorHAnsi"/>
          <w:b/>
          <w:sz w:val="16"/>
          <w:szCs w:val="16"/>
        </w:rPr>
      </w:pPr>
    </w:p>
    <w:p w14:paraId="704730C7" w14:textId="77777777" w:rsidR="00142F3F" w:rsidRDefault="00142F3F" w:rsidP="00142F3F">
      <w:pPr>
        <w:jc w:val="both"/>
        <w:rPr>
          <w:rFonts w:ascii="Trebuchet MS" w:eastAsia="Trebuchet MS" w:hAnsi="Trebuchet MS" w:cs="Trebuchet MS"/>
          <w:sz w:val="20"/>
          <w:szCs w:val="20"/>
        </w:rPr>
      </w:pPr>
    </w:p>
    <w:p w14:paraId="5096D416" w14:textId="0A5815C1" w:rsidR="00142F3F" w:rsidRDefault="00142F3F" w:rsidP="00142F3F">
      <w:pPr>
        <w:jc w:val="both"/>
        <w:rPr>
          <w:rFonts w:ascii="Trebuchet MS" w:eastAsia="Trebuchet MS" w:hAnsi="Trebuchet MS" w:cs="Trebuchet MS"/>
          <w:sz w:val="20"/>
          <w:szCs w:val="20"/>
        </w:rPr>
      </w:pPr>
      <w:r w:rsidRPr="00A973CC">
        <w:rPr>
          <w:rFonts w:ascii="Trebuchet MS" w:eastAsia="Trebuchet MS" w:hAnsi="Trebuchet MS" w:cs="Trebuchet MS"/>
          <w:sz w:val="20"/>
          <w:szCs w:val="20"/>
        </w:rPr>
        <w:lastRenderedPageBreak/>
        <w:t xml:space="preserve">El contratista debe cumplir con las siguientes condiciones técnicas: </w:t>
      </w:r>
    </w:p>
    <w:p w14:paraId="3730D094" w14:textId="4C57A7D2" w:rsidR="004310B9" w:rsidRDefault="004310B9" w:rsidP="00A6415F">
      <w:pPr>
        <w:spacing w:after="0" w:line="240" w:lineRule="auto"/>
        <w:jc w:val="both"/>
        <w:rPr>
          <w:rFonts w:cstheme="minorHAnsi"/>
          <w:b/>
          <w:sz w:val="16"/>
          <w:szCs w:val="16"/>
        </w:rPr>
      </w:pPr>
    </w:p>
    <w:p w14:paraId="30B4DAA0" w14:textId="739491E0" w:rsidR="004310B9" w:rsidRDefault="00142F3F" w:rsidP="00A6415F">
      <w:pPr>
        <w:spacing w:after="0" w:line="240" w:lineRule="auto"/>
        <w:jc w:val="both"/>
        <w:rPr>
          <w:rFonts w:cstheme="minorHAnsi"/>
          <w:b/>
          <w:sz w:val="16"/>
          <w:szCs w:val="16"/>
        </w:rPr>
      </w:pPr>
      <w:r w:rsidRPr="004D130E">
        <w:rPr>
          <w:noProof/>
        </w:rPr>
        <w:drawing>
          <wp:inline distT="0" distB="0" distL="0" distR="0" wp14:anchorId="25AD39A2" wp14:editId="05B4B649">
            <wp:extent cx="5612130" cy="3302026"/>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302026"/>
                    </a:xfrm>
                    <a:prstGeom prst="rect">
                      <a:avLst/>
                    </a:prstGeom>
                    <a:noFill/>
                    <a:ln>
                      <a:noFill/>
                    </a:ln>
                  </pic:spPr>
                </pic:pic>
              </a:graphicData>
            </a:graphic>
          </wp:inline>
        </w:drawing>
      </w:r>
    </w:p>
    <w:p w14:paraId="322D5244" w14:textId="77777777" w:rsidR="00863CCA" w:rsidRDefault="00863CCA" w:rsidP="00A6415F">
      <w:pPr>
        <w:spacing w:after="0" w:line="240" w:lineRule="auto"/>
        <w:jc w:val="both"/>
        <w:rPr>
          <w:rFonts w:cstheme="minorHAnsi"/>
          <w:b/>
          <w:sz w:val="16"/>
          <w:szCs w:val="16"/>
        </w:rPr>
      </w:pPr>
    </w:p>
    <w:p w14:paraId="553AC468" w14:textId="4A8DA02C" w:rsidR="004310B9" w:rsidRDefault="004310B9" w:rsidP="00A6415F">
      <w:pPr>
        <w:spacing w:after="0" w:line="240" w:lineRule="auto"/>
        <w:jc w:val="both"/>
        <w:rPr>
          <w:rFonts w:cstheme="minorHAnsi"/>
          <w:b/>
          <w:sz w:val="16"/>
          <w:szCs w:val="16"/>
        </w:rPr>
      </w:pPr>
    </w:p>
    <w:p w14:paraId="3646A262" w14:textId="77777777" w:rsidR="004310B9" w:rsidRPr="00211163" w:rsidRDefault="004310B9" w:rsidP="00A6415F">
      <w:pPr>
        <w:spacing w:after="0" w:line="240" w:lineRule="auto"/>
        <w:jc w:val="both"/>
        <w:rPr>
          <w:rFonts w:cstheme="minorHAnsi"/>
          <w:b/>
          <w:sz w:val="16"/>
          <w:szCs w:val="16"/>
        </w:rPr>
      </w:pPr>
    </w:p>
    <w:p w14:paraId="01DA9E4A" w14:textId="77777777" w:rsidR="00A6415F" w:rsidRPr="00211163" w:rsidRDefault="00A6415F" w:rsidP="00A6415F">
      <w:pPr>
        <w:pStyle w:val="Prrafodelista"/>
        <w:numPr>
          <w:ilvl w:val="0"/>
          <w:numId w:val="3"/>
        </w:numPr>
        <w:spacing w:after="160" w:line="259" w:lineRule="auto"/>
        <w:rPr>
          <w:rFonts w:ascii="Calibri" w:hAnsi="Calibri" w:cs="Calibri"/>
          <w:b/>
        </w:rPr>
      </w:pPr>
      <w:r w:rsidRPr="00211163">
        <w:rPr>
          <w:rFonts w:ascii="Calibri" w:hAnsi="Calibri" w:cs="Calibri"/>
          <w:b/>
        </w:rPr>
        <w:t xml:space="preserve">ANALISIS PESPECTIVA FINANCIERA </w:t>
      </w:r>
    </w:p>
    <w:p w14:paraId="4873F3C1" w14:textId="27F96C59" w:rsidR="00142F3F" w:rsidRDefault="00142F3F" w:rsidP="00142F3F">
      <w:pPr>
        <w:ind w:left="284"/>
        <w:jc w:val="both"/>
        <w:rPr>
          <w:rFonts w:ascii="Trebuchet MS" w:hAnsi="Trebuchet MS" w:cs="Arial"/>
        </w:rPr>
      </w:pPr>
      <w:r w:rsidRPr="00142F3F">
        <w:rPr>
          <w:rFonts w:ascii="Trebuchet MS" w:hAnsi="Trebuchet MS" w:cs="Arial"/>
          <w:sz w:val="20"/>
          <w:szCs w:val="20"/>
        </w:rPr>
        <w:t xml:space="preserve">Para determinar el valor total del contrato se realizó desde el área de origen el simulador de compra </w:t>
      </w:r>
      <w:r w:rsidRPr="00142F3F">
        <w:rPr>
          <w:rFonts w:ascii="Trebuchet MS" w:hAnsi="Trebuchet MS" w:cs="Arial"/>
          <w:bCs/>
        </w:rPr>
        <w:t xml:space="preserve">cabo a través del </w:t>
      </w:r>
      <w:r w:rsidRPr="00142F3F">
        <w:rPr>
          <w:rFonts w:ascii="Trebuchet MS" w:hAnsi="Trebuchet MS" w:cs="Arial"/>
        </w:rPr>
        <w:t xml:space="preserve">Instrumento de Agregación de Demanda para la adquisición de Software por Catálogo que requieran las entidades estatales CCE-139-IAD-2020, como se observa a continuación: </w:t>
      </w:r>
    </w:p>
    <w:p w14:paraId="26BE5B77" w14:textId="16FC28CF" w:rsidR="00142F3F" w:rsidRPr="00142F3F" w:rsidRDefault="00AD28BF" w:rsidP="00142F3F">
      <w:pPr>
        <w:ind w:left="284"/>
        <w:jc w:val="both"/>
        <w:rPr>
          <w:rFonts w:ascii="Trebuchet MS" w:hAnsi="Trebuchet MS" w:cs="Arial"/>
        </w:rPr>
      </w:pPr>
      <w:r w:rsidRPr="008E143E">
        <w:rPr>
          <w:rFonts w:ascii="Trebuchet MS" w:hAnsi="Trebuchet MS" w:cs="Arial"/>
          <w:noProof/>
        </w:rPr>
        <w:drawing>
          <wp:inline distT="0" distB="0" distL="0" distR="0" wp14:anchorId="62B642C6" wp14:editId="1AD0BE93">
            <wp:extent cx="5612130" cy="2374406"/>
            <wp:effectExtent l="0" t="0" r="7620" b="6985"/>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374406"/>
                    </a:xfrm>
                    <a:prstGeom prst="rect">
                      <a:avLst/>
                    </a:prstGeom>
                  </pic:spPr>
                </pic:pic>
              </a:graphicData>
            </a:graphic>
          </wp:inline>
        </w:drawing>
      </w:r>
    </w:p>
    <w:p w14:paraId="480347BD" w14:textId="77777777" w:rsidR="00142F3F" w:rsidRDefault="00142F3F" w:rsidP="00142F3F">
      <w:pPr>
        <w:jc w:val="both"/>
        <w:rPr>
          <w:rFonts w:ascii="Trebuchet MS" w:hAnsi="Trebuchet MS" w:cs="Arial"/>
          <w:bCs/>
        </w:rPr>
      </w:pPr>
      <w:r>
        <w:rPr>
          <w:rFonts w:ascii="Trebuchet MS" w:hAnsi="Trebuchet MS" w:cs="Arial"/>
          <w:bCs/>
        </w:rPr>
        <w:lastRenderedPageBreak/>
        <w:t xml:space="preserve">Se debe tener en cuenta que estos servicios no tienen IVA, y así lo muestra el simulador: </w:t>
      </w:r>
    </w:p>
    <w:p w14:paraId="7296B2F0" w14:textId="1A4A27AC" w:rsidR="00142F3F" w:rsidRDefault="00142F3F" w:rsidP="00A6415F">
      <w:pPr>
        <w:jc w:val="both"/>
        <w:rPr>
          <w:rStyle w:val="Ttulo1Car"/>
          <w:rFonts w:ascii="Calibri" w:hAnsi="Calibri" w:cs="Calibri"/>
          <w:b/>
          <w:color w:val="auto"/>
          <w:sz w:val="22"/>
          <w:szCs w:val="22"/>
        </w:rPr>
      </w:pPr>
      <w:r w:rsidRPr="00567012">
        <w:rPr>
          <w:noProof/>
        </w:rPr>
        <w:drawing>
          <wp:inline distT="0" distB="0" distL="0" distR="0" wp14:anchorId="29E0A8EF" wp14:editId="2ABD9C30">
            <wp:extent cx="3343547" cy="197280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54925" cy="1979513"/>
                    </a:xfrm>
                    <a:prstGeom prst="rect">
                      <a:avLst/>
                    </a:prstGeom>
                  </pic:spPr>
                </pic:pic>
              </a:graphicData>
            </a:graphic>
          </wp:inline>
        </w:drawing>
      </w:r>
    </w:p>
    <w:p w14:paraId="51C971F9" w14:textId="508B6CA2" w:rsidR="00A6415F" w:rsidRPr="00211163" w:rsidRDefault="00A6415F" w:rsidP="00A6415F">
      <w:pPr>
        <w:jc w:val="both"/>
        <w:rPr>
          <w:rStyle w:val="Ttulo1Car"/>
          <w:rFonts w:ascii="Calibri" w:hAnsi="Calibri" w:cs="Calibri"/>
          <w:b/>
          <w:color w:val="auto"/>
          <w:sz w:val="22"/>
          <w:szCs w:val="22"/>
        </w:rPr>
      </w:pPr>
      <w:r w:rsidRPr="00211163">
        <w:rPr>
          <w:rStyle w:val="Ttulo1Car"/>
          <w:rFonts w:ascii="Calibri" w:hAnsi="Calibri" w:cs="Calibri"/>
          <w:b/>
          <w:color w:val="auto"/>
          <w:sz w:val="22"/>
          <w:szCs w:val="22"/>
        </w:rPr>
        <w:t xml:space="preserve">CLASIFICADOR DE BIENES Y SERVICIOS </w:t>
      </w:r>
    </w:p>
    <w:p w14:paraId="38264C34" w14:textId="191ABA9D" w:rsidR="00A6415F" w:rsidRPr="00211163" w:rsidRDefault="00A6415F" w:rsidP="00A6415F">
      <w:pPr>
        <w:spacing w:after="0" w:line="240" w:lineRule="auto"/>
        <w:jc w:val="both"/>
        <w:rPr>
          <w:rFonts w:ascii="Calibri" w:hAnsi="Calibri" w:cs="Calibri"/>
        </w:rPr>
      </w:pPr>
      <w:r w:rsidRPr="00211163">
        <w:rPr>
          <w:rFonts w:ascii="Calibri" w:hAnsi="Calibri" w:cs="Calibri"/>
        </w:rPr>
        <w:t>El mercado colombiano ofrece una amplia gama de alternativas disponibles para atender las necesidades de servicios que demandan los sectores público y privado. Tales servicios, por su naturaleza, se agrupan en los segmentos 70 a 94 del Código Estándar de Productos y Servicios de Naciones Unidas (UNSPSC)</w:t>
      </w:r>
      <w:r w:rsidR="00B63B14" w:rsidRPr="00211163">
        <w:rPr>
          <w:rFonts w:ascii="Calibri" w:hAnsi="Calibri" w:cs="Calibri"/>
        </w:rPr>
        <w:t>.</w:t>
      </w:r>
    </w:p>
    <w:p w14:paraId="30462C33" w14:textId="77777777" w:rsidR="00A6415F" w:rsidRPr="00211163" w:rsidRDefault="00A6415F" w:rsidP="00A6415F">
      <w:pPr>
        <w:spacing w:after="0" w:line="240" w:lineRule="auto"/>
        <w:ind w:left="360"/>
        <w:jc w:val="both"/>
        <w:rPr>
          <w:rFonts w:ascii="Calibri" w:hAnsi="Calibri" w:cs="Calibri"/>
        </w:rPr>
      </w:pPr>
    </w:p>
    <w:p w14:paraId="0F1A7B0B" w14:textId="49D004E2" w:rsidR="00A6415F" w:rsidRPr="00211163" w:rsidRDefault="00A6415F" w:rsidP="00A6415F">
      <w:pPr>
        <w:spacing w:after="0" w:line="240" w:lineRule="auto"/>
        <w:jc w:val="both"/>
        <w:rPr>
          <w:rFonts w:ascii="Calibri" w:hAnsi="Calibri" w:cs="Calibri"/>
        </w:rPr>
      </w:pPr>
      <w:r w:rsidRPr="00211163">
        <w:rPr>
          <w:rFonts w:ascii="Calibri" w:hAnsi="Calibri" w:cs="Calibri"/>
        </w:rPr>
        <w:t>De acuerdo con los códigos del clasificador de bienes y servicios UNSPSC proporcionados por Colombia compra eficiente, la adquisición de</w:t>
      </w:r>
      <w:r w:rsidR="00C253E0" w:rsidRPr="00211163">
        <w:rPr>
          <w:rFonts w:ascii="Calibri" w:hAnsi="Calibri" w:cs="Calibri"/>
        </w:rPr>
        <w:t xml:space="preserve"> la Renovación de Licencias ArcGIS y </w:t>
      </w:r>
      <w:r w:rsidRPr="00211163">
        <w:rPr>
          <w:rFonts w:ascii="Calibri" w:hAnsi="Calibri" w:cs="Calibri"/>
        </w:rPr>
        <w:t>soporte, se puede ubicar en:</w:t>
      </w:r>
    </w:p>
    <w:p w14:paraId="3273E143" w14:textId="77777777" w:rsidR="00A6415F" w:rsidRPr="00211163" w:rsidRDefault="00A6415F" w:rsidP="00A6415F">
      <w:pPr>
        <w:spacing w:after="0" w:line="240" w:lineRule="auto"/>
        <w:jc w:val="center"/>
        <w:rPr>
          <w:rFonts w:ascii="Calibri" w:hAnsi="Calibri" w:cs="Calibri"/>
          <w:b/>
        </w:rPr>
      </w:pPr>
      <w:r w:rsidRPr="00211163">
        <w:rPr>
          <w:rFonts w:ascii="Calibri" w:hAnsi="Calibri" w:cs="Calibri"/>
          <w:b/>
        </w:rPr>
        <w:t xml:space="preserve">Cuadro1 </w:t>
      </w:r>
    </w:p>
    <w:p w14:paraId="229599C3" w14:textId="67BF471D" w:rsidR="00A6415F" w:rsidRDefault="00A6415F" w:rsidP="00A6415F">
      <w:pPr>
        <w:spacing w:after="0" w:line="240" w:lineRule="auto"/>
        <w:jc w:val="center"/>
        <w:rPr>
          <w:rFonts w:ascii="Calibri" w:hAnsi="Calibri" w:cs="Calibri"/>
          <w:b/>
        </w:rPr>
      </w:pPr>
      <w:r w:rsidRPr="00211163">
        <w:rPr>
          <w:rFonts w:ascii="Calibri" w:hAnsi="Calibri" w:cs="Calibri"/>
          <w:b/>
        </w:rPr>
        <w:t>Clasificación del UNSPSC</w:t>
      </w:r>
    </w:p>
    <w:p w14:paraId="30181940" w14:textId="278D6D70" w:rsidR="004310B9" w:rsidRDefault="004310B9" w:rsidP="00A6415F">
      <w:pPr>
        <w:spacing w:after="0" w:line="240" w:lineRule="auto"/>
        <w:jc w:val="center"/>
        <w:rPr>
          <w:rFonts w:ascii="Calibri" w:hAnsi="Calibri" w:cs="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6"/>
        <w:gridCol w:w="880"/>
        <w:gridCol w:w="6582"/>
      </w:tblGrid>
      <w:tr w:rsidR="004310B9" w:rsidRPr="00F74DC5" w14:paraId="59100014" w14:textId="77777777" w:rsidTr="00D32FAA">
        <w:trPr>
          <w:jc w:val="center"/>
        </w:trPr>
        <w:tc>
          <w:tcPr>
            <w:tcW w:w="1366" w:type="dxa"/>
            <w:shd w:val="clear" w:color="auto" w:fill="D9D9D9"/>
            <w:vAlign w:val="center"/>
          </w:tcPr>
          <w:p w14:paraId="259CB9E8" w14:textId="77777777" w:rsidR="004310B9" w:rsidRPr="00F74DC5" w:rsidRDefault="004310B9" w:rsidP="00D32FAA">
            <w:pPr>
              <w:spacing w:after="0"/>
              <w:jc w:val="center"/>
              <w:rPr>
                <w:rFonts w:ascii="Tahoma" w:hAnsi="Tahoma" w:cs="Tahoma"/>
                <w:sz w:val="20"/>
                <w:szCs w:val="20"/>
              </w:rPr>
            </w:pPr>
            <w:r w:rsidRPr="00F74DC5">
              <w:rPr>
                <w:rFonts w:ascii="Tahoma" w:hAnsi="Tahoma" w:cs="Tahoma"/>
                <w:sz w:val="20"/>
                <w:szCs w:val="20"/>
              </w:rPr>
              <w:t>Grupo</w:t>
            </w:r>
          </w:p>
        </w:tc>
        <w:tc>
          <w:tcPr>
            <w:tcW w:w="880" w:type="dxa"/>
            <w:shd w:val="clear" w:color="auto" w:fill="D9D9D9"/>
            <w:vAlign w:val="center"/>
          </w:tcPr>
          <w:p w14:paraId="0894BF58" w14:textId="77777777" w:rsidR="004310B9" w:rsidRPr="00F74DC5" w:rsidRDefault="004310B9" w:rsidP="00D32FAA">
            <w:pPr>
              <w:spacing w:after="0"/>
              <w:jc w:val="center"/>
              <w:rPr>
                <w:rFonts w:ascii="Tahoma" w:hAnsi="Tahoma" w:cs="Tahoma"/>
                <w:sz w:val="20"/>
                <w:szCs w:val="20"/>
              </w:rPr>
            </w:pPr>
            <w:r w:rsidRPr="00F74DC5">
              <w:rPr>
                <w:rFonts w:ascii="Tahoma" w:hAnsi="Tahoma" w:cs="Tahoma"/>
                <w:sz w:val="20"/>
                <w:szCs w:val="20"/>
              </w:rPr>
              <w:t>F</w:t>
            </w:r>
          </w:p>
        </w:tc>
        <w:tc>
          <w:tcPr>
            <w:tcW w:w="6582" w:type="dxa"/>
            <w:shd w:val="clear" w:color="auto" w:fill="D9D9D9"/>
            <w:vAlign w:val="center"/>
          </w:tcPr>
          <w:p w14:paraId="4D7D4013" w14:textId="77777777" w:rsidR="004310B9" w:rsidRPr="00F74DC5" w:rsidRDefault="004310B9" w:rsidP="00D32FAA">
            <w:pPr>
              <w:spacing w:after="0"/>
              <w:jc w:val="center"/>
              <w:rPr>
                <w:rFonts w:ascii="Tahoma" w:hAnsi="Tahoma" w:cs="Tahoma"/>
                <w:sz w:val="20"/>
                <w:szCs w:val="20"/>
              </w:rPr>
            </w:pPr>
            <w:r w:rsidRPr="00F74DC5">
              <w:rPr>
                <w:rFonts w:ascii="Tahoma" w:hAnsi="Tahoma" w:cs="Tahoma"/>
                <w:sz w:val="20"/>
                <w:szCs w:val="20"/>
              </w:rPr>
              <w:t>Servicios</w:t>
            </w:r>
          </w:p>
        </w:tc>
      </w:tr>
      <w:tr w:rsidR="004310B9" w:rsidRPr="00F74DC5" w14:paraId="6399AD7F" w14:textId="77777777" w:rsidTr="00D32FAA">
        <w:trPr>
          <w:jc w:val="center"/>
        </w:trPr>
        <w:tc>
          <w:tcPr>
            <w:tcW w:w="1366" w:type="dxa"/>
            <w:vAlign w:val="center"/>
          </w:tcPr>
          <w:p w14:paraId="55DFDDAD" w14:textId="77777777" w:rsidR="004310B9" w:rsidRPr="00F74DC5" w:rsidRDefault="004310B9" w:rsidP="00D32FAA">
            <w:pPr>
              <w:spacing w:after="0"/>
              <w:jc w:val="center"/>
              <w:rPr>
                <w:rFonts w:ascii="Tahoma" w:hAnsi="Tahoma" w:cs="Tahoma"/>
                <w:sz w:val="20"/>
                <w:szCs w:val="20"/>
              </w:rPr>
            </w:pPr>
            <w:r w:rsidRPr="00F74DC5">
              <w:rPr>
                <w:rFonts w:ascii="Tahoma" w:hAnsi="Tahoma" w:cs="Tahoma"/>
                <w:sz w:val="20"/>
                <w:szCs w:val="20"/>
              </w:rPr>
              <w:t>Segmento</w:t>
            </w:r>
          </w:p>
        </w:tc>
        <w:tc>
          <w:tcPr>
            <w:tcW w:w="880" w:type="dxa"/>
            <w:vAlign w:val="center"/>
          </w:tcPr>
          <w:p w14:paraId="08480A98" w14:textId="77777777" w:rsidR="004310B9" w:rsidRPr="00F74DC5" w:rsidRDefault="004310B9" w:rsidP="00D32FAA">
            <w:pPr>
              <w:spacing w:after="0"/>
              <w:jc w:val="center"/>
              <w:rPr>
                <w:rFonts w:ascii="Tahoma" w:hAnsi="Tahoma" w:cs="Tahoma"/>
                <w:sz w:val="20"/>
                <w:szCs w:val="20"/>
              </w:rPr>
            </w:pPr>
            <w:r w:rsidRPr="00F74DC5">
              <w:rPr>
                <w:rFonts w:ascii="Tahoma" w:hAnsi="Tahoma" w:cs="Tahoma"/>
                <w:sz w:val="20"/>
                <w:szCs w:val="20"/>
              </w:rPr>
              <w:t>81</w:t>
            </w:r>
          </w:p>
        </w:tc>
        <w:tc>
          <w:tcPr>
            <w:tcW w:w="6582" w:type="dxa"/>
            <w:vAlign w:val="center"/>
          </w:tcPr>
          <w:p w14:paraId="4ECB2D67" w14:textId="77777777" w:rsidR="004310B9" w:rsidRPr="00F74DC5" w:rsidRDefault="004310B9" w:rsidP="00D32FAA">
            <w:pPr>
              <w:spacing w:after="0"/>
              <w:jc w:val="center"/>
              <w:rPr>
                <w:rFonts w:ascii="Tahoma" w:hAnsi="Tahoma" w:cs="Tahoma"/>
                <w:sz w:val="20"/>
                <w:szCs w:val="20"/>
              </w:rPr>
            </w:pPr>
            <w:r w:rsidRPr="00F74DC5">
              <w:rPr>
                <w:rFonts w:ascii="Tahoma" w:hAnsi="Tahoma" w:cs="Tahoma"/>
                <w:sz w:val="20"/>
                <w:szCs w:val="20"/>
              </w:rPr>
              <w:t>Servicios basados en ingeniería, investigación y tecnología</w:t>
            </w:r>
          </w:p>
        </w:tc>
      </w:tr>
      <w:tr w:rsidR="004310B9" w:rsidRPr="00F74DC5" w14:paraId="3C888615" w14:textId="77777777" w:rsidTr="00D32FAA">
        <w:trPr>
          <w:jc w:val="center"/>
        </w:trPr>
        <w:tc>
          <w:tcPr>
            <w:tcW w:w="1366" w:type="dxa"/>
            <w:vAlign w:val="center"/>
          </w:tcPr>
          <w:p w14:paraId="19A1BC41" w14:textId="77777777" w:rsidR="004310B9" w:rsidRPr="00F74DC5" w:rsidRDefault="004310B9" w:rsidP="00D32FAA">
            <w:pPr>
              <w:spacing w:after="0"/>
              <w:jc w:val="center"/>
              <w:rPr>
                <w:rFonts w:ascii="Tahoma" w:hAnsi="Tahoma" w:cs="Tahoma"/>
                <w:sz w:val="20"/>
                <w:szCs w:val="20"/>
              </w:rPr>
            </w:pPr>
            <w:r w:rsidRPr="00F74DC5">
              <w:rPr>
                <w:rFonts w:ascii="Tahoma" w:hAnsi="Tahoma" w:cs="Tahoma"/>
                <w:sz w:val="20"/>
                <w:szCs w:val="20"/>
              </w:rPr>
              <w:t>Familia</w:t>
            </w:r>
          </w:p>
        </w:tc>
        <w:tc>
          <w:tcPr>
            <w:tcW w:w="880" w:type="dxa"/>
            <w:vAlign w:val="center"/>
          </w:tcPr>
          <w:p w14:paraId="6CBFB84B" w14:textId="77777777" w:rsidR="004310B9" w:rsidRPr="00F74DC5" w:rsidRDefault="004310B9" w:rsidP="00D32FAA">
            <w:pPr>
              <w:spacing w:after="0"/>
              <w:jc w:val="center"/>
              <w:rPr>
                <w:rFonts w:ascii="Tahoma" w:hAnsi="Tahoma" w:cs="Tahoma"/>
                <w:sz w:val="20"/>
                <w:szCs w:val="20"/>
              </w:rPr>
            </w:pPr>
            <w:r w:rsidRPr="00F74DC5">
              <w:rPr>
                <w:rFonts w:ascii="Tahoma" w:hAnsi="Tahoma" w:cs="Tahoma"/>
                <w:sz w:val="20"/>
                <w:szCs w:val="20"/>
              </w:rPr>
              <w:t>11</w:t>
            </w:r>
          </w:p>
        </w:tc>
        <w:tc>
          <w:tcPr>
            <w:tcW w:w="6582" w:type="dxa"/>
            <w:vAlign w:val="center"/>
          </w:tcPr>
          <w:p w14:paraId="120DF54F" w14:textId="77777777" w:rsidR="004310B9" w:rsidRPr="00F74DC5" w:rsidRDefault="004310B9" w:rsidP="00D32FAA">
            <w:pPr>
              <w:spacing w:after="0"/>
              <w:jc w:val="center"/>
              <w:rPr>
                <w:rFonts w:ascii="Tahoma" w:hAnsi="Tahoma" w:cs="Tahoma"/>
                <w:sz w:val="20"/>
                <w:szCs w:val="20"/>
              </w:rPr>
            </w:pPr>
            <w:r w:rsidRPr="00F74DC5">
              <w:rPr>
                <w:rFonts w:ascii="Tahoma" w:hAnsi="Tahoma" w:cs="Tahoma"/>
                <w:sz w:val="20"/>
                <w:szCs w:val="20"/>
              </w:rPr>
              <w:t>Servicios informáticos</w:t>
            </w:r>
          </w:p>
        </w:tc>
      </w:tr>
      <w:tr w:rsidR="004310B9" w:rsidRPr="00F74DC5" w14:paraId="6D33D458" w14:textId="77777777" w:rsidTr="00D32FAA">
        <w:trPr>
          <w:jc w:val="center"/>
        </w:trPr>
        <w:tc>
          <w:tcPr>
            <w:tcW w:w="1366" w:type="dxa"/>
            <w:vAlign w:val="center"/>
          </w:tcPr>
          <w:p w14:paraId="5C8C97D0" w14:textId="77777777" w:rsidR="004310B9" w:rsidRPr="00F74DC5" w:rsidRDefault="004310B9" w:rsidP="00D32FAA">
            <w:pPr>
              <w:spacing w:after="0"/>
              <w:jc w:val="center"/>
              <w:rPr>
                <w:rFonts w:ascii="Tahoma" w:hAnsi="Tahoma" w:cs="Tahoma"/>
                <w:sz w:val="20"/>
                <w:szCs w:val="20"/>
              </w:rPr>
            </w:pPr>
            <w:r w:rsidRPr="00F74DC5">
              <w:rPr>
                <w:rFonts w:ascii="Tahoma" w:hAnsi="Tahoma" w:cs="Tahoma"/>
                <w:sz w:val="20"/>
                <w:szCs w:val="20"/>
              </w:rPr>
              <w:t>Clase</w:t>
            </w:r>
          </w:p>
        </w:tc>
        <w:tc>
          <w:tcPr>
            <w:tcW w:w="880" w:type="dxa"/>
            <w:vAlign w:val="center"/>
          </w:tcPr>
          <w:p w14:paraId="18A8EBA5" w14:textId="77777777" w:rsidR="004310B9" w:rsidRPr="00F74DC5" w:rsidRDefault="004310B9" w:rsidP="00D32FAA">
            <w:pPr>
              <w:spacing w:after="0"/>
              <w:jc w:val="center"/>
              <w:rPr>
                <w:rFonts w:ascii="Tahoma" w:hAnsi="Tahoma" w:cs="Tahoma"/>
                <w:sz w:val="20"/>
                <w:szCs w:val="20"/>
              </w:rPr>
            </w:pPr>
            <w:r w:rsidRPr="00F74DC5">
              <w:rPr>
                <w:rFonts w:ascii="Tahoma" w:hAnsi="Tahoma" w:cs="Tahoma"/>
                <w:sz w:val="20"/>
                <w:szCs w:val="20"/>
              </w:rPr>
              <w:t>22</w:t>
            </w:r>
          </w:p>
        </w:tc>
        <w:tc>
          <w:tcPr>
            <w:tcW w:w="6582" w:type="dxa"/>
            <w:vAlign w:val="center"/>
          </w:tcPr>
          <w:p w14:paraId="2364CDB1" w14:textId="77777777" w:rsidR="004310B9" w:rsidRPr="00F74DC5" w:rsidRDefault="004310B9" w:rsidP="00D32FAA">
            <w:pPr>
              <w:spacing w:after="0"/>
              <w:jc w:val="center"/>
              <w:rPr>
                <w:rFonts w:ascii="Tahoma" w:hAnsi="Tahoma" w:cs="Tahoma"/>
                <w:sz w:val="20"/>
                <w:szCs w:val="20"/>
              </w:rPr>
            </w:pPr>
            <w:r w:rsidRPr="00F74DC5">
              <w:rPr>
                <w:rFonts w:ascii="Tahoma" w:hAnsi="Tahoma" w:cs="Tahoma"/>
                <w:sz w:val="20"/>
                <w:szCs w:val="20"/>
              </w:rPr>
              <w:t>Mantenimiento y soporte de software</w:t>
            </w:r>
          </w:p>
        </w:tc>
      </w:tr>
      <w:tr w:rsidR="004310B9" w:rsidRPr="00F74DC5" w14:paraId="6EDFED32" w14:textId="77777777" w:rsidTr="00D32FAA">
        <w:trPr>
          <w:jc w:val="center"/>
        </w:trPr>
        <w:tc>
          <w:tcPr>
            <w:tcW w:w="1366" w:type="dxa"/>
            <w:vAlign w:val="center"/>
          </w:tcPr>
          <w:p w14:paraId="78661406" w14:textId="77777777" w:rsidR="004310B9" w:rsidRPr="00F74DC5" w:rsidRDefault="004310B9" w:rsidP="00D32FAA">
            <w:pPr>
              <w:spacing w:after="0"/>
              <w:jc w:val="center"/>
              <w:rPr>
                <w:rFonts w:ascii="Tahoma" w:hAnsi="Tahoma" w:cs="Tahoma"/>
                <w:sz w:val="20"/>
                <w:szCs w:val="20"/>
              </w:rPr>
            </w:pPr>
            <w:r w:rsidRPr="00F74DC5">
              <w:rPr>
                <w:rFonts w:ascii="Tahoma" w:hAnsi="Tahoma" w:cs="Tahoma"/>
                <w:sz w:val="20"/>
                <w:szCs w:val="20"/>
              </w:rPr>
              <w:t>Producto</w:t>
            </w:r>
          </w:p>
        </w:tc>
        <w:tc>
          <w:tcPr>
            <w:tcW w:w="880" w:type="dxa"/>
            <w:vAlign w:val="center"/>
          </w:tcPr>
          <w:p w14:paraId="7F1B2549" w14:textId="77777777" w:rsidR="004310B9" w:rsidRPr="00F74DC5" w:rsidRDefault="004310B9" w:rsidP="00D32FAA">
            <w:pPr>
              <w:spacing w:after="0"/>
              <w:jc w:val="center"/>
              <w:rPr>
                <w:rFonts w:ascii="Tahoma" w:hAnsi="Tahoma" w:cs="Tahoma"/>
                <w:sz w:val="20"/>
                <w:szCs w:val="20"/>
              </w:rPr>
            </w:pPr>
            <w:r w:rsidRPr="00F74DC5">
              <w:rPr>
                <w:rFonts w:ascii="Tahoma" w:hAnsi="Tahoma" w:cs="Tahoma"/>
                <w:sz w:val="20"/>
                <w:szCs w:val="20"/>
              </w:rPr>
              <w:t>05</w:t>
            </w:r>
          </w:p>
        </w:tc>
        <w:tc>
          <w:tcPr>
            <w:tcW w:w="6582" w:type="dxa"/>
            <w:vAlign w:val="center"/>
          </w:tcPr>
          <w:p w14:paraId="4F724C24" w14:textId="77777777" w:rsidR="004310B9" w:rsidRPr="00F74DC5" w:rsidRDefault="004310B9" w:rsidP="00D32FAA">
            <w:pPr>
              <w:spacing w:after="0"/>
              <w:jc w:val="center"/>
              <w:rPr>
                <w:rFonts w:ascii="Tahoma" w:hAnsi="Tahoma" w:cs="Tahoma"/>
                <w:sz w:val="20"/>
                <w:szCs w:val="20"/>
              </w:rPr>
            </w:pPr>
            <w:r w:rsidRPr="00F74DC5">
              <w:rPr>
                <w:rFonts w:ascii="Tahoma" w:hAnsi="Tahoma" w:cs="Tahoma"/>
                <w:sz w:val="20"/>
                <w:szCs w:val="20"/>
              </w:rPr>
              <w:t>Mantenimiento de software de sistemas de gestión de bases de datos</w:t>
            </w:r>
          </w:p>
        </w:tc>
      </w:tr>
      <w:tr w:rsidR="004310B9" w:rsidRPr="00F74DC5" w14:paraId="7C074B67" w14:textId="77777777" w:rsidTr="00D32FAA">
        <w:trPr>
          <w:jc w:val="center"/>
        </w:trPr>
        <w:tc>
          <w:tcPr>
            <w:tcW w:w="1366" w:type="dxa"/>
            <w:vAlign w:val="center"/>
          </w:tcPr>
          <w:p w14:paraId="1F9B9B7D" w14:textId="77777777" w:rsidR="004310B9" w:rsidRPr="00F74DC5" w:rsidRDefault="004310B9" w:rsidP="00D32FAA">
            <w:pPr>
              <w:spacing w:after="0"/>
              <w:jc w:val="center"/>
              <w:rPr>
                <w:rFonts w:ascii="Tahoma" w:hAnsi="Tahoma" w:cs="Tahoma"/>
                <w:sz w:val="20"/>
                <w:szCs w:val="20"/>
              </w:rPr>
            </w:pPr>
            <w:r w:rsidRPr="00F74DC5">
              <w:rPr>
                <w:rFonts w:ascii="Tahoma" w:hAnsi="Tahoma" w:cs="Tahoma"/>
                <w:sz w:val="20"/>
                <w:szCs w:val="20"/>
              </w:rPr>
              <w:t>Codificación</w:t>
            </w:r>
          </w:p>
        </w:tc>
        <w:tc>
          <w:tcPr>
            <w:tcW w:w="7462" w:type="dxa"/>
            <w:gridSpan w:val="2"/>
            <w:vAlign w:val="center"/>
          </w:tcPr>
          <w:p w14:paraId="2FA8DBDC" w14:textId="77777777" w:rsidR="004310B9" w:rsidRPr="00F74DC5" w:rsidRDefault="004310B9" w:rsidP="00D32FAA">
            <w:pPr>
              <w:spacing w:after="0"/>
              <w:jc w:val="center"/>
              <w:rPr>
                <w:rFonts w:ascii="Tahoma" w:hAnsi="Tahoma" w:cs="Tahoma"/>
                <w:sz w:val="20"/>
                <w:szCs w:val="20"/>
              </w:rPr>
            </w:pPr>
            <w:r w:rsidRPr="00F74DC5">
              <w:rPr>
                <w:rFonts w:ascii="Tahoma" w:hAnsi="Tahoma" w:cs="Tahoma"/>
                <w:sz w:val="20"/>
                <w:szCs w:val="20"/>
              </w:rPr>
              <w:t>81112205</w:t>
            </w:r>
          </w:p>
        </w:tc>
      </w:tr>
    </w:tbl>
    <w:p w14:paraId="77AC3C93" w14:textId="77777777" w:rsidR="004310B9" w:rsidRPr="00211163" w:rsidRDefault="004310B9" w:rsidP="00A6415F">
      <w:pPr>
        <w:spacing w:after="0" w:line="240" w:lineRule="auto"/>
        <w:jc w:val="center"/>
        <w:rPr>
          <w:rFonts w:ascii="Calibri" w:hAnsi="Calibri" w:cs="Calibri"/>
          <w:b/>
        </w:rPr>
      </w:pPr>
    </w:p>
    <w:p w14:paraId="3C0925F3" w14:textId="77777777" w:rsidR="00A6415F" w:rsidRPr="00211163" w:rsidRDefault="00A6415F" w:rsidP="00A6415F">
      <w:pPr>
        <w:pStyle w:val="Prrafodelista"/>
        <w:numPr>
          <w:ilvl w:val="0"/>
          <w:numId w:val="3"/>
        </w:numPr>
        <w:spacing w:after="160" w:line="259" w:lineRule="auto"/>
        <w:rPr>
          <w:rFonts w:ascii="Calibri" w:hAnsi="Calibri" w:cs="Calibri"/>
          <w:b/>
        </w:rPr>
      </w:pPr>
      <w:r w:rsidRPr="00211163">
        <w:rPr>
          <w:rFonts w:ascii="Calibri" w:hAnsi="Calibri" w:cs="Calibri"/>
          <w:b/>
        </w:rPr>
        <w:t xml:space="preserve">ANALISIS DE LA DEMANDA </w:t>
      </w:r>
    </w:p>
    <w:p w14:paraId="39413843" w14:textId="1BA18CB8" w:rsidR="00176EDE" w:rsidRDefault="00A6415F" w:rsidP="00176EDE">
      <w:pPr>
        <w:jc w:val="both"/>
        <w:rPr>
          <w:rFonts w:ascii="Trebuchet MS" w:hAnsi="Trebuchet MS" w:cs="Arial"/>
          <w:b/>
          <w:sz w:val="20"/>
          <w:szCs w:val="20"/>
        </w:rPr>
      </w:pPr>
      <w:r w:rsidRPr="00211163">
        <w:rPr>
          <w:rFonts w:ascii="Calibri" w:hAnsi="Calibri" w:cs="Calibri"/>
        </w:rPr>
        <w:t xml:space="preserve">Revisando la contratación histórica de la Entidad para la contratación del servicio de </w:t>
      </w:r>
      <w:r w:rsidR="00176EDE" w:rsidRPr="00867272">
        <w:rPr>
          <w:rFonts w:ascii="Trebuchet MS" w:hAnsi="Trebuchet MS" w:cs="Arial"/>
          <w:b/>
          <w:sz w:val="20"/>
          <w:szCs w:val="20"/>
        </w:rPr>
        <w:t>ADQUISICIÓN DEL LICENCIAMIENTO, SOPORTE, SERVICIOS DE CORREO ELECTRÓNICO Y HERRAMIENTAS COLABORATIVAS PARA EL DADEP</w:t>
      </w:r>
      <w:r w:rsidR="00176EDE">
        <w:rPr>
          <w:rFonts w:ascii="Trebuchet MS" w:hAnsi="Trebuchet MS" w:cs="Arial"/>
          <w:b/>
          <w:sz w:val="20"/>
          <w:szCs w:val="20"/>
        </w:rPr>
        <w:t>.</w:t>
      </w:r>
    </w:p>
    <w:tbl>
      <w:tblPr>
        <w:tblStyle w:val="Tablaconcuadrcula"/>
        <w:tblW w:w="8833" w:type="dxa"/>
        <w:tblInd w:w="-5" w:type="dxa"/>
        <w:tblLayout w:type="fixed"/>
        <w:tblLook w:val="04A0" w:firstRow="1" w:lastRow="0" w:firstColumn="1" w:lastColumn="0" w:noHBand="0" w:noVBand="1"/>
      </w:tblPr>
      <w:tblGrid>
        <w:gridCol w:w="1482"/>
        <w:gridCol w:w="7351"/>
      </w:tblGrid>
      <w:tr w:rsidR="002B1C50" w:rsidRPr="00E8550A" w14:paraId="080EAF6E" w14:textId="77777777" w:rsidTr="00326119">
        <w:tc>
          <w:tcPr>
            <w:tcW w:w="1482" w:type="dxa"/>
          </w:tcPr>
          <w:p w14:paraId="702CB224" w14:textId="77777777" w:rsidR="002B1C50" w:rsidRPr="00E8550A" w:rsidRDefault="002B1C50" w:rsidP="00326119">
            <w:pPr>
              <w:pStyle w:val="Default"/>
              <w:rPr>
                <w:b/>
                <w:sz w:val="18"/>
                <w:szCs w:val="18"/>
              </w:rPr>
            </w:pPr>
            <w:r w:rsidRPr="00E8550A">
              <w:rPr>
                <w:b/>
                <w:bCs/>
                <w:sz w:val="18"/>
                <w:szCs w:val="18"/>
              </w:rPr>
              <w:t xml:space="preserve">Entidad Contratante </w:t>
            </w:r>
          </w:p>
        </w:tc>
        <w:tc>
          <w:tcPr>
            <w:tcW w:w="7351" w:type="dxa"/>
          </w:tcPr>
          <w:p w14:paraId="7780DC1B" w14:textId="77777777" w:rsidR="002B1C50" w:rsidRPr="002B1C50" w:rsidRDefault="002B1C50" w:rsidP="002B1C50">
            <w:pPr>
              <w:pStyle w:val="Default"/>
              <w:rPr>
                <w:b/>
                <w:bCs/>
                <w:sz w:val="18"/>
                <w:szCs w:val="18"/>
              </w:rPr>
            </w:pPr>
            <w:r w:rsidRPr="002B1C50">
              <w:rPr>
                <w:b/>
                <w:bCs/>
                <w:sz w:val="18"/>
                <w:szCs w:val="18"/>
              </w:rPr>
              <w:t>ALCALDIA MUNICIPAL DE MADRID</w:t>
            </w:r>
          </w:p>
          <w:p w14:paraId="7DBAF324" w14:textId="5B8E2727" w:rsidR="002B1C50" w:rsidRPr="00E8550A" w:rsidRDefault="002B1C50" w:rsidP="00326119">
            <w:pPr>
              <w:pStyle w:val="Default"/>
              <w:rPr>
                <w:b/>
                <w:sz w:val="18"/>
                <w:szCs w:val="18"/>
              </w:rPr>
            </w:pPr>
          </w:p>
        </w:tc>
      </w:tr>
      <w:tr w:rsidR="002B1C50" w:rsidRPr="00E8550A" w14:paraId="4D326B6A" w14:textId="77777777" w:rsidTr="00326119">
        <w:tc>
          <w:tcPr>
            <w:tcW w:w="1482" w:type="dxa"/>
          </w:tcPr>
          <w:p w14:paraId="366CD279" w14:textId="77777777" w:rsidR="002B1C50" w:rsidRPr="00797B3E" w:rsidRDefault="002B1C50" w:rsidP="00326119">
            <w:pPr>
              <w:pStyle w:val="Default"/>
              <w:rPr>
                <w:sz w:val="18"/>
                <w:szCs w:val="18"/>
              </w:rPr>
            </w:pPr>
            <w:r w:rsidRPr="00E8550A">
              <w:rPr>
                <w:sz w:val="18"/>
                <w:szCs w:val="18"/>
              </w:rPr>
              <w:t xml:space="preserve">No. de proceso </w:t>
            </w:r>
          </w:p>
        </w:tc>
        <w:tc>
          <w:tcPr>
            <w:tcW w:w="7351" w:type="dxa"/>
          </w:tcPr>
          <w:p w14:paraId="07D338B0" w14:textId="2E8DD981" w:rsidR="002B1C50" w:rsidRPr="00797B3E" w:rsidRDefault="002B1C50" w:rsidP="00734B5A">
            <w:pPr>
              <w:pStyle w:val="Ttulo1"/>
              <w:shd w:val="clear" w:color="auto" w:fill="FFFFFF"/>
              <w:outlineLvl w:val="0"/>
              <w:rPr>
                <w:rFonts w:ascii="Arial" w:hAnsi="Arial" w:cs="Arial"/>
                <w:color w:val="000000"/>
                <w:sz w:val="18"/>
                <w:szCs w:val="18"/>
              </w:rPr>
            </w:pPr>
            <w:r w:rsidRPr="00797B3E">
              <w:rPr>
                <w:rFonts w:ascii="Arial" w:eastAsiaTheme="minorHAnsi" w:hAnsi="Arial" w:cs="Arial"/>
                <w:color w:val="000000"/>
                <w:sz w:val="18"/>
                <w:szCs w:val="18"/>
              </w:rPr>
              <w:t xml:space="preserve">ORDEN DE COMPRA </w:t>
            </w:r>
            <w:r w:rsidR="00734B5A">
              <w:rPr>
                <w:rFonts w:ascii="Arial" w:eastAsiaTheme="minorHAnsi" w:hAnsi="Arial" w:cs="Arial"/>
                <w:color w:val="000000"/>
                <w:sz w:val="18"/>
                <w:szCs w:val="18"/>
              </w:rPr>
              <w:t xml:space="preserve"> </w:t>
            </w:r>
            <w:r w:rsidR="00734B5A" w:rsidRPr="00734B5A">
              <w:rPr>
                <w:rFonts w:ascii="Arial" w:eastAsiaTheme="minorHAnsi" w:hAnsi="Arial" w:cs="Arial"/>
                <w:color w:val="000000"/>
                <w:sz w:val="18"/>
                <w:szCs w:val="18"/>
              </w:rPr>
              <w:t>56601</w:t>
            </w:r>
          </w:p>
        </w:tc>
      </w:tr>
      <w:tr w:rsidR="002B1C50" w:rsidRPr="00E8550A" w14:paraId="3C7224AC" w14:textId="77777777" w:rsidTr="00326119">
        <w:tc>
          <w:tcPr>
            <w:tcW w:w="1482" w:type="dxa"/>
          </w:tcPr>
          <w:p w14:paraId="224F932F" w14:textId="77777777" w:rsidR="002B1C50" w:rsidRPr="00797B3E" w:rsidRDefault="002B1C50" w:rsidP="00326119">
            <w:pPr>
              <w:pStyle w:val="Default"/>
              <w:rPr>
                <w:sz w:val="18"/>
                <w:szCs w:val="18"/>
              </w:rPr>
            </w:pPr>
            <w:r w:rsidRPr="00E8550A">
              <w:rPr>
                <w:sz w:val="18"/>
                <w:szCs w:val="18"/>
              </w:rPr>
              <w:t xml:space="preserve">Tipo de Proceso </w:t>
            </w:r>
          </w:p>
        </w:tc>
        <w:tc>
          <w:tcPr>
            <w:tcW w:w="7351" w:type="dxa"/>
          </w:tcPr>
          <w:p w14:paraId="61CE2519" w14:textId="119EA8D1" w:rsidR="002B1C50" w:rsidRPr="00797B3E" w:rsidRDefault="00797B3E" w:rsidP="00326119">
            <w:pPr>
              <w:pStyle w:val="Default"/>
              <w:rPr>
                <w:sz w:val="18"/>
                <w:szCs w:val="18"/>
              </w:rPr>
            </w:pPr>
            <w:r w:rsidRPr="00797B3E">
              <w:rPr>
                <w:sz w:val="18"/>
                <w:szCs w:val="18"/>
              </w:rPr>
              <w:t xml:space="preserve">Acuerdo Marco – Instrumento Agregación de Demanda </w:t>
            </w:r>
          </w:p>
        </w:tc>
      </w:tr>
      <w:tr w:rsidR="002B1C50" w:rsidRPr="00E8550A" w14:paraId="7317A599" w14:textId="77777777" w:rsidTr="00326119">
        <w:trPr>
          <w:trHeight w:val="532"/>
        </w:trPr>
        <w:tc>
          <w:tcPr>
            <w:tcW w:w="1482" w:type="dxa"/>
          </w:tcPr>
          <w:p w14:paraId="01F5A63E" w14:textId="77777777" w:rsidR="002B1C50" w:rsidRPr="00797B3E" w:rsidRDefault="002B1C50" w:rsidP="00326119">
            <w:pPr>
              <w:pStyle w:val="Default"/>
              <w:rPr>
                <w:sz w:val="18"/>
                <w:szCs w:val="18"/>
              </w:rPr>
            </w:pPr>
            <w:r w:rsidRPr="00E8550A">
              <w:rPr>
                <w:sz w:val="18"/>
                <w:szCs w:val="18"/>
              </w:rPr>
              <w:lastRenderedPageBreak/>
              <w:t xml:space="preserve">Objeto a Contratar </w:t>
            </w:r>
          </w:p>
        </w:tc>
        <w:tc>
          <w:tcPr>
            <w:tcW w:w="7351" w:type="dxa"/>
          </w:tcPr>
          <w:p w14:paraId="47F73E23" w14:textId="13C00EAE" w:rsidR="002B1C50" w:rsidRPr="00797B3E" w:rsidRDefault="002B1C50" w:rsidP="00326119">
            <w:pPr>
              <w:pStyle w:val="Default"/>
              <w:rPr>
                <w:sz w:val="18"/>
                <w:szCs w:val="18"/>
              </w:rPr>
            </w:pPr>
            <w:r w:rsidRPr="00797B3E">
              <w:rPr>
                <w:sz w:val="18"/>
                <w:szCs w:val="18"/>
              </w:rPr>
              <w:t>ADQUISICIÓN DE LICENCIAS DE SOFTWARE MICROSOFT OFFICE EN LA MODALIDAD DE SUSCRIPCIÓN ANUAL CON DESTINO A LOS FUNCIONARIOS DE LAS DIFERENTES DEPENDENCIAS DE LA ADMINISTRACIÓN MUNICIPAL</w:t>
            </w:r>
          </w:p>
        </w:tc>
      </w:tr>
      <w:tr w:rsidR="002B1C50" w:rsidRPr="00E8550A" w14:paraId="550593D0" w14:textId="77777777" w:rsidTr="00326119">
        <w:tc>
          <w:tcPr>
            <w:tcW w:w="1482" w:type="dxa"/>
          </w:tcPr>
          <w:p w14:paraId="6D38CA1A" w14:textId="77777777" w:rsidR="002B1C50" w:rsidRPr="00797B3E" w:rsidRDefault="002B1C50" w:rsidP="00326119">
            <w:pPr>
              <w:pStyle w:val="Default"/>
              <w:rPr>
                <w:sz w:val="18"/>
                <w:szCs w:val="18"/>
              </w:rPr>
            </w:pPr>
            <w:r w:rsidRPr="00E8550A">
              <w:rPr>
                <w:sz w:val="18"/>
                <w:szCs w:val="18"/>
              </w:rPr>
              <w:t xml:space="preserve">Tipo de Contrato </w:t>
            </w:r>
          </w:p>
        </w:tc>
        <w:tc>
          <w:tcPr>
            <w:tcW w:w="7351" w:type="dxa"/>
          </w:tcPr>
          <w:p w14:paraId="36AE3A76" w14:textId="174AF15A" w:rsidR="002B1C50" w:rsidRPr="00797B3E" w:rsidRDefault="002B1C50" w:rsidP="00326119">
            <w:pPr>
              <w:pStyle w:val="Default"/>
              <w:rPr>
                <w:sz w:val="18"/>
                <w:szCs w:val="18"/>
              </w:rPr>
            </w:pPr>
            <w:r>
              <w:rPr>
                <w:sz w:val="18"/>
                <w:szCs w:val="18"/>
              </w:rPr>
              <w:t>Orden de Compra</w:t>
            </w:r>
          </w:p>
        </w:tc>
      </w:tr>
      <w:tr w:rsidR="002B1C50" w:rsidRPr="00E8550A" w14:paraId="2FE8D67B" w14:textId="77777777" w:rsidTr="00326119">
        <w:tc>
          <w:tcPr>
            <w:tcW w:w="1482" w:type="dxa"/>
          </w:tcPr>
          <w:p w14:paraId="52046F53" w14:textId="77777777" w:rsidR="002B1C50" w:rsidRPr="00797B3E" w:rsidRDefault="002B1C50" w:rsidP="00326119">
            <w:pPr>
              <w:pStyle w:val="Default"/>
              <w:rPr>
                <w:sz w:val="18"/>
                <w:szCs w:val="18"/>
              </w:rPr>
            </w:pPr>
            <w:r w:rsidRPr="00E8550A">
              <w:rPr>
                <w:sz w:val="18"/>
                <w:szCs w:val="18"/>
              </w:rPr>
              <w:t xml:space="preserve">Estado del Contrato </w:t>
            </w:r>
          </w:p>
        </w:tc>
        <w:tc>
          <w:tcPr>
            <w:tcW w:w="7351" w:type="dxa"/>
          </w:tcPr>
          <w:p w14:paraId="0F2F980D" w14:textId="1F0A39B6" w:rsidR="002B1C50" w:rsidRPr="00797B3E" w:rsidRDefault="002B1C50" w:rsidP="00326119">
            <w:pPr>
              <w:pStyle w:val="Default"/>
              <w:rPr>
                <w:sz w:val="18"/>
                <w:szCs w:val="18"/>
              </w:rPr>
            </w:pPr>
            <w:r>
              <w:rPr>
                <w:sz w:val="18"/>
                <w:szCs w:val="18"/>
              </w:rPr>
              <w:t>Emitida</w:t>
            </w:r>
            <w:r w:rsidRPr="00E8550A">
              <w:rPr>
                <w:sz w:val="18"/>
                <w:szCs w:val="18"/>
              </w:rPr>
              <w:t xml:space="preserve"> </w:t>
            </w:r>
          </w:p>
        </w:tc>
      </w:tr>
      <w:tr w:rsidR="002B1C50" w:rsidRPr="00E8550A" w14:paraId="67A625B6" w14:textId="77777777" w:rsidTr="00326119">
        <w:tc>
          <w:tcPr>
            <w:tcW w:w="1482" w:type="dxa"/>
          </w:tcPr>
          <w:p w14:paraId="12790986" w14:textId="77777777" w:rsidR="002B1C50" w:rsidRPr="00797B3E" w:rsidRDefault="002B1C50" w:rsidP="00326119">
            <w:pPr>
              <w:pStyle w:val="Default"/>
              <w:rPr>
                <w:sz w:val="18"/>
                <w:szCs w:val="18"/>
              </w:rPr>
            </w:pPr>
            <w:r w:rsidRPr="00E8550A">
              <w:rPr>
                <w:sz w:val="18"/>
                <w:szCs w:val="18"/>
              </w:rPr>
              <w:t xml:space="preserve">Cuantía Definitiva del Contrato </w:t>
            </w:r>
          </w:p>
        </w:tc>
        <w:tc>
          <w:tcPr>
            <w:tcW w:w="7351" w:type="dxa"/>
          </w:tcPr>
          <w:p w14:paraId="486F0F2E" w14:textId="5B75EA59" w:rsidR="002B1C50" w:rsidRPr="00797B3E" w:rsidRDefault="002B1C50" w:rsidP="00326119">
            <w:pPr>
              <w:pStyle w:val="Prrafodelista"/>
              <w:spacing w:after="160" w:line="259" w:lineRule="auto"/>
              <w:ind w:left="0"/>
              <w:rPr>
                <w:rFonts w:ascii="Arial" w:hAnsi="Arial" w:cs="Arial"/>
                <w:color w:val="000000"/>
                <w:sz w:val="18"/>
                <w:szCs w:val="18"/>
              </w:rPr>
            </w:pPr>
            <w:r w:rsidRPr="00797B3E">
              <w:rPr>
                <w:rFonts w:ascii="Arial" w:hAnsi="Arial" w:cs="Arial"/>
                <w:color w:val="000000"/>
                <w:sz w:val="18"/>
                <w:szCs w:val="18"/>
              </w:rPr>
              <w:t>$178.956.918</w:t>
            </w:r>
          </w:p>
        </w:tc>
      </w:tr>
      <w:tr w:rsidR="002B1C50" w:rsidRPr="00E8550A" w14:paraId="1D3FDB65" w14:textId="77777777" w:rsidTr="00326119">
        <w:tc>
          <w:tcPr>
            <w:tcW w:w="1482" w:type="dxa"/>
          </w:tcPr>
          <w:p w14:paraId="6C019453" w14:textId="77777777" w:rsidR="002B1C50" w:rsidRPr="00797B3E" w:rsidRDefault="002B1C50" w:rsidP="00326119">
            <w:pPr>
              <w:pStyle w:val="Default"/>
              <w:rPr>
                <w:sz w:val="18"/>
                <w:szCs w:val="18"/>
              </w:rPr>
            </w:pPr>
            <w:r w:rsidRPr="00E8550A">
              <w:rPr>
                <w:sz w:val="18"/>
                <w:szCs w:val="18"/>
              </w:rPr>
              <w:t xml:space="preserve">Nombre o Razón Social del Contratista </w:t>
            </w:r>
          </w:p>
        </w:tc>
        <w:tc>
          <w:tcPr>
            <w:tcW w:w="7351" w:type="dxa"/>
          </w:tcPr>
          <w:p w14:paraId="13A432DC" w14:textId="4671C255" w:rsidR="002B1C50" w:rsidRPr="00797B3E" w:rsidRDefault="002B1C50" w:rsidP="00326119">
            <w:pPr>
              <w:pStyle w:val="Prrafodelista"/>
              <w:spacing w:after="160" w:line="259" w:lineRule="auto"/>
              <w:ind w:left="0"/>
              <w:rPr>
                <w:rFonts w:ascii="Arial" w:hAnsi="Arial" w:cs="Arial"/>
                <w:color w:val="000000"/>
                <w:sz w:val="18"/>
                <w:szCs w:val="18"/>
              </w:rPr>
            </w:pPr>
            <w:r w:rsidRPr="00797B3E">
              <w:rPr>
                <w:rFonts w:ascii="Arial" w:hAnsi="Arial" w:cs="Arial"/>
                <w:color w:val="000000"/>
                <w:sz w:val="18"/>
                <w:szCs w:val="18"/>
              </w:rPr>
              <w:t>Unión Temporal DELL EMC</w:t>
            </w:r>
          </w:p>
        </w:tc>
      </w:tr>
      <w:tr w:rsidR="002B1C50" w:rsidRPr="00E8550A" w14:paraId="3250DE7E" w14:textId="77777777" w:rsidTr="00326119">
        <w:tc>
          <w:tcPr>
            <w:tcW w:w="1482" w:type="dxa"/>
          </w:tcPr>
          <w:p w14:paraId="35D07162" w14:textId="77777777" w:rsidR="002B1C50" w:rsidRPr="00E8550A" w:rsidRDefault="002B1C50" w:rsidP="00326119">
            <w:pPr>
              <w:pStyle w:val="Default"/>
              <w:rPr>
                <w:sz w:val="18"/>
                <w:szCs w:val="18"/>
              </w:rPr>
            </w:pPr>
            <w:r w:rsidRPr="00E8550A">
              <w:rPr>
                <w:sz w:val="18"/>
                <w:szCs w:val="18"/>
              </w:rPr>
              <w:t xml:space="preserve">Duración del contrato </w:t>
            </w:r>
          </w:p>
        </w:tc>
        <w:tc>
          <w:tcPr>
            <w:tcW w:w="7351" w:type="dxa"/>
          </w:tcPr>
          <w:p w14:paraId="189A7F37" w14:textId="02D3884E" w:rsidR="002B1C50" w:rsidRPr="00E8550A" w:rsidRDefault="002B1C50" w:rsidP="00326119">
            <w:pPr>
              <w:pStyle w:val="Default"/>
              <w:rPr>
                <w:sz w:val="18"/>
                <w:szCs w:val="18"/>
              </w:rPr>
            </w:pPr>
            <w:r>
              <w:rPr>
                <w:sz w:val="18"/>
                <w:szCs w:val="18"/>
              </w:rPr>
              <w:t>Doce</w:t>
            </w:r>
            <w:r w:rsidRPr="00E8550A">
              <w:rPr>
                <w:sz w:val="18"/>
                <w:szCs w:val="18"/>
              </w:rPr>
              <w:t xml:space="preserve"> (</w:t>
            </w:r>
            <w:r>
              <w:rPr>
                <w:sz w:val="18"/>
                <w:szCs w:val="18"/>
              </w:rPr>
              <w:t>12</w:t>
            </w:r>
            <w:r w:rsidRPr="00E8550A">
              <w:rPr>
                <w:sz w:val="18"/>
                <w:szCs w:val="18"/>
              </w:rPr>
              <w:t xml:space="preserve">) meses </w:t>
            </w:r>
          </w:p>
          <w:p w14:paraId="7A0F26CF" w14:textId="77777777" w:rsidR="002B1C50" w:rsidRPr="00E8550A" w:rsidRDefault="002B1C50" w:rsidP="00326119">
            <w:pPr>
              <w:pStyle w:val="Default"/>
              <w:rPr>
                <w:sz w:val="18"/>
                <w:szCs w:val="18"/>
              </w:rPr>
            </w:pPr>
          </w:p>
        </w:tc>
      </w:tr>
      <w:tr w:rsidR="002B1C50" w:rsidRPr="002B1C50" w14:paraId="5A08299A" w14:textId="77777777" w:rsidTr="00326119">
        <w:tc>
          <w:tcPr>
            <w:tcW w:w="1482" w:type="dxa"/>
          </w:tcPr>
          <w:p w14:paraId="63745506" w14:textId="77777777" w:rsidR="002B1C50" w:rsidRPr="00E8550A" w:rsidRDefault="002B1C50" w:rsidP="00326119">
            <w:pPr>
              <w:pStyle w:val="Default"/>
              <w:rPr>
                <w:sz w:val="18"/>
                <w:szCs w:val="18"/>
              </w:rPr>
            </w:pPr>
          </w:p>
          <w:p w14:paraId="00EEAB70" w14:textId="77777777" w:rsidR="002B1C50" w:rsidRPr="00E8550A" w:rsidRDefault="002B1C50" w:rsidP="00326119">
            <w:pPr>
              <w:pStyle w:val="Default"/>
              <w:rPr>
                <w:sz w:val="18"/>
                <w:szCs w:val="18"/>
              </w:rPr>
            </w:pPr>
            <w:r w:rsidRPr="00E8550A">
              <w:rPr>
                <w:sz w:val="18"/>
                <w:szCs w:val="18"/>
              </w:rPr>
              <w:t xml:space="preserve">Fuente: </w:t>
            </w:r>
          </w:p>
        </w:tc>
        <w:tc>
          <w:tcPr>
            <w:tcW w:w="7351" w:type="dxa"/>
          </w:tcPr>
          <w:p w14:paraId="5F339C83" w14:textId="571B3B11" w:rsidR="002B1C50" w:rsidRPr="00797B3E" w:rsidRDefault="00554F9B" w:rsidP="00326119">
            <w:pPr>
              <w:pStyle w:val="Default"/>
              <w:rPr>
                <w:sz w:val="16"/>
                <w:szCs w:val="16"/>
              </w:rPr>
            </w:pPr>
            <w:hyperlink r:id="rId21" w:history="1">
              <w:proofErr w:type="spellStart"/>
              <w:r w:rsidR="002B1C50" w:rsidRPr="00797B3E">
                <w:rPr>
                  <w:rStyle w:val="Hipervnculo"/>
                  <w:i/>
                  <w:iCs/>
                  <w:sz w:val="16"/>
                  <w:szCs w:val="16"/>
                </w:rPr>
                <w:t>nicio</w:t>
              </w:r>
              <w:proofErr w:type="spellEnd"/>
            </w:hyperlink>
            <w:r w:rsidR="002B1C50" w:rsidRPr="00797B3E">
              <w:rPr>
                <w:color w:val="212529"/>
                <w:sz w:val="16"/>
                <w:szCs w:val="16"/>
                <w:shd w:val="clear" w:color="auto" w:fill="E5E5E5"/>
              </w:rPr>
              <w:t> </w:t>
            </w:r>
            <w:r w:rsidR="002B1C50" w:rsidRPr="00797B3E">
              <w:rPr>
                <w:rStyle w:val="easy-breadcrumbsegment-separator"/>
                <w:i/>
                <w:iCs/>
                <w:sz w:val="16"/>
                <w:szCs w:val="16"/>
                <w:shd w:val="clear" w:color="auto" w:fill="E5E5E5"/>
              </w:rPr>
              <w:t>/</w:t>
            </w:r>
            <w:r w:rsidR="002B1C50" w:rsidRPr="00797B3E">
              <w:rPr>
                <w:color w:val="212529"/>
                <w:sz w:val="16"/>
                <w:szCs w:val="16"/>
                <w:shd w:val="clear" w:color="auto" w:fill="E5E5E5"/>
              </w:rPr>
              <w:t> </w:t>
            </w:r>
            <w:hyperlink r:id="rId22" w:history="1">
              <w:r w:rsidR="002B1C50" w:rsidRPr="00797B3E">
                <w:rPr>
                  <w:rStyle w:val="Hipervnculo"/>
                  <w:i/>
                  <w:iCs/>
                  <w:sz w:val="16"/>
                  <w:szCs w:val="16"/>
                </w:rPr>
                <w:t>TIENDA VIRTUAL DEL ESTADO COLOMBIANO</w:t>
              </w:r>
            </w:hyperlink>
            <w:r w:rsidR="002B1C50" w:rsidRPr="00797B3E">
              <w:rPr>
                <w:color w:val="212529"/>
                <w:sz w:val="16"/>
                <w:szCs w:val="16"/>
                <w:shd w:val="clear" w:color="auto" w:fill="E5E5E5"/>
              </w:rPr>
              <w:t> </w:t>
            </w:r>
            <w:r w:rsidR="002B1C50" w:rsidRPr="00797B3E">
              <w:rPr>
                <w:rStyle w:val="easy-breadcrumbsegment-separator"/>
                <w:i/>
                <w:iCs/>
                <w:sz w:val="16"/>
                <w:szCs w:val="16"/>
                <w:shd w:val="clear" w:color="auto" w:fill="E5E5E5"/>
              </w:rPr>
              <w:t>/</w:t>
            </w:r>
            <w:r w:rsidR="002B1C50" w:rsidRPr="00797B3E">
              <w:rPr>
                <w:color w:val="212529"/>
                <w:sz w:val="16"/>
                <w:szCs w:val="16"/>
                <w:shd w:val="clear" w:color="auto" w:fill="E5E5E5"/>
              </w:rPr>
              <w:t> </w:t>
            </w:r>
            <w:r w:rsidR="002B1C50" w:rsidRPr="00797B3E">
              <w:rPr>
                <w:rStyle w:val="easy-breadcrumbsegment"/>
                <w:i/>
                <w:iCs/>
                <w:sz w:val="16"/>
                <w:szCs w:val="16"/>
                <w:shd w:val="clear" w:color="auto" w:fill="E5E5E5"/>
              </w:rPr>
              <w:t>Órdenes de compra</w:t>
            </w:r>
          </w:p>
        </w:tc>
      </w:tr>
    </w:tbl>
    <w:p w14:paraId="3EEEAD88" w14:textId="1281ACFE" w:rsidR="00176EDE" w:rsidRDefault="00176EDE" w:rsidP="00A6415F">
      <w:pPr>
        <w:jc w:val="both"/>
        <w:rPr>
          <w:rFonts w:ascii="Calibri" w:hAnsi="Calibri" w:cs="Calibri"/>
          <w:sz w:val="20"/>
          <w:szCs w:val="20"/>
        </w:rPr>
      </w:pPr>
    </w:p>
    <w:tbl>
      <w:tblPr>
        <w:tblStyle w:val="Tablaconcuadrcula"/>
        <w:tblW w:w="8833" w:type="dxa"/>
        <w:tblInd w:w="-5" w:type="dxa"/>
        <w:tblLayout w:type="fixed"/>
        <w:tblLook w:val="04A0" w:firstRow="1" w:lastRow="0" w:firstColumn="1" w:lastColumn="0" w:noHBand="0" w:noVBand="1"/>
      </w:tblPr>
      <w:tblGrid>
        <w:gridCol w:w="1482"/>
        <w:gridCol w:w="7351"/>
      </w:tblGrid>
      <w:tr w:rsidR="002B1C50" w:rsidRPr="00E8550A" w14:paraId="3BADA1C0" w14:textId="77777777" w:rsidTr="00326119">
        <w:tc>
          <w:tcPr>
            <w:tcW w:w="1482" w:type="dxa"/>
          </w:tcPr>
          <w:p w14:paraId="0AD11CA3" w14:textId="77777777" w:rsidR="002B1C50" w:rsidRPr="00E8550A" w:rsidRDefault="002B1C50" w:rsidP="00326119">
            <w:pPr>
              <w:pStyle w:val="Default"/>
              <w:rPr>
                <w:b/>
                <w:sz w:val="18"/>
                <w:szCs w:val="18"/>
              </w:rPr>
            </w:pPr>
            <w:r w:rsidRPr="00E8550A">
              <w:rPr>
                <w:b/>
                <w:bCs/>
                <w:sz w:val="18"/>
                <w:szCs w:val="18"/>
              </w:rPr>
              <w:t xml:space="preserve">Entidad Contratante </w:t>
            </w:r>
          </w:p>
        </w:tc>
        <w:tc>
          <w:tcPr>
            <w:tcW w:w="7351" w:type="dxa"/>
          </w:tcPr>
          <w:p w14:paraId="134443DA" w14:textId="77777777" w:rsidR="002B1C50" w:rsidRPr="002B1C50" w:rsidRDefault="002B1C50" w:rsidP="00326119">
            <w:pPr>
              <w:pStyle w:val="Default"/>
              <w:rPr>
                <w:b/>
                <w:bCs/>
                <w:sz w:val="18"/>
                <w:szCs w:val="18"/>
              </w:rPr>
            </w:pPr>
            <w:r w:rsidRPr="002B1C50">
              <w:rPr>
                <w:b/>
                <w:bCs/>
                <w:sz w:val="18"/>
                <w:szCs w:val="18"/>
              </w:rPr>
              <w:t>ALCALDIA MUNICIPAL DE MADRID</w:t>
            </w:r>
          </w:p>
          <w:p w14:paraId="3CEBC33C" w14:textId="77777777" w:rsidR="002B1C50" w:rsidRPr="00E8550A" w:rsidRDefault="002B1C50" w:rsidP="00326119">
            <w:pPr>
              <w:pStyle w:val="Default"/>
              <w:rPr>
                <w:b/>
                <w:sz w:val="18"/>
                <w:szCs w:val="18"/>
              </w:rPr>
            </w:pPr>
          </w:p>
        </w:tc>
      </w:tr>
      <w:tr w:rsidR="002B1C50" w:rsidRPr="00E8550A" w14:paraId="3432C34E" w14:textId="77777777" w:rsidTr="00326119">
        <w:tc>
          <w:tcPr>
            <w:tcW w:w="1482" w:type="dxa"/>
          </w:tcPr>
          <w:p w14:paraId="0F230B22" w14:textId="77777777" w:rsidR="002B1C50" w:rsidRPr="00E8550A" w:rsidRDefault="002B1C50" w:rsidP="00326119">
            <w:pPr>
              <w:pStyle w:val="Default"/>
              <w:rPr>
                <w:b/>
                <w:sz w:val="18"/>
                <w:szCs w:val="18"/>
              </w:rPr>
            </w:pPr>
            <w:r w:rsidRPr="00E8550A">
              <w:rPr>
                <w:sz w:val="18"/>
                <w:szCs w:val="18"/>
              </w:rPr>
              <w:t xml:space="preserve">No. de proceso </w:t>
            </w:r>
          </w:p>
        </w:tc>
        <w:tc>
          <w:tcPr>
            <w:tcW w:w="7351" w:type="dxa"/>
          </w:tcPr>
          <w:p w14:paraId="0E1419E9" w14:textId="12DDEAC1" w:rsidR="002B1C50" w:rsidRPr="00797B3E" w:rsidRDefault="002B1C50" w:rsidP="00734B5A">
            <w:pPr>
              <w:pStyle w:val="Ttulo1"/>
              <w:shd w:val="clear" w:color="auto" w:fill="FFFFFF"/>
              <w:outlineLvl w:val="0"/>
              <w:rPr>
                <w:rFonts w:ascii="Arial" w:hAnsi="Arial" w:cs="Arial"/>
                <w:color w:val="000000"/>
                <w:sz w:val="18"/>
                <w:szCs w:val="18"/>
                <w:shd w:val="clear" w:color="auto" w:fill="FFFFFF"/>
              </w:rPr>
            </w:pPr>
            <w:r w:rsidRPr="00797B3E">
              <w:rPr>
                <w:rFonts w:ascii="Arial" w:eastAsiaTheme="minorHAnsi" w:hAnsi="Arial" w:cs="Arial"/>
                <w:color w:val="000000"/>
                <w:sz w:val="18"/>
                <w:szCs w:val="18"/>
                <w:shd w:val="clear" w:color="auto" w:fill="FFFFFF"/>
              </w:rPr>
              <w:t>ORDEN DE COMPRA 56496</w:t>
            </w:r>
          </w:p>
        </w:tc>
      </w:tr>
      <w:tr w:rsidR="002B1C50" w:rsidRPr="00E8550A" w14:paraId="560B9F01" w14:textId="77777777" w:rsidTr="00326119">
        <w:tc>
          <w:tcPr>
            <w:tcW w:w="1482" w:type="dxa"/>
          </w:tcPr>
          <w:p w14:paraId="1A7B6200" w14:textId="77777777" w:rsidR="002B1C50" w:rsidRPr="00E8550A" w:rsidRDefault="002B1C50" w:rsidP="00326119">
            <w:pPr>
              <w:pStyle w:val="Default"/>
              <w:rPr>
                <w:b/>
                <w:sz w:val="18"/>
                <w:szCs w:val="18"/>
              </w:rPr>
            </w:pPr>
            <w:r w:rsidRPr="00E8550A">
              <w:rPr>
                <w:sz w:val="18"/>
                <w:szCs w:val="18"/>
              </w:rPr>
              <w:t xml:space="preserve">Tipo de Proceso </w:t>
            </w:r>
          </w:p>
        </w:tc>
        <w:tc>
          <w:tcPr>
            <w:tcW w:w="7351" w:type="dxa"/>
          </w:tcPr>
          <w:p w14:paraId="0A6B6B9A" w14:textId="77777777" w:rsidR="002B1C50" w:rsidRPr="00797B3E" w:rsidRDefault="002B1C50" w:rsidP="00326119">
            <w:pPr>
              <w:pStyle w:val="Default"/>
              <w:rPr>
                <w:sz w:val="18"/>
                <w:szCs w:val="18"/>
                <w:shd w:val="clear" w:color="auto" w:fill="FFFFFF"/>
              </w:rPr>
            </w:pPr>
            <w:r>
              <w:rPr>
                <w:sz w:val="18"/>
                <w:szCs w:val="18"/>
                <w:shd w:val="clear" w:color="auto" w:fill="FFFFFF"/>
              </w:rPr>
              <w:t>Acuerdo Marco – Instrumento Agregación de Demanda</w:t>
            </w:r>
          </w:p>
        </w:tc>
      </w:tr>
      <w:tr w:rsidR="002B1C50" w:rsidRPr="00E8550A" w14:paraId="12ECD7A4" w14:textId="77777777" w:rsidTr="00326119">
        <w:trPr>
          <w:trHeight w:val="532"/>
        </w:trPr>
        <w:tc>
          <w:tcPr>
            <w:tcW w:w="1482" w:type="dxa"/>
          </w:tcPr>
          <w:p w14:paraId="16DFBBB6" w14:textId="77777777" w:rsidR="002B1C50" w:rsidRPr="00E8550A" w:rsidRDefault="002B1C50" w:rsidP="00326119">
            <w:pPr>
              <w:pStyle w:val="Default"/>
              <w:rPr>
                <w:b/>
                <w:sz w:val="18"/>
                <w:szCs w:val="18"/>
              </w:rPr>
            </w:pPr>
            <w:r w:rsidRPr="00E8550A">
              <w:rPr>
                <w:sz w:val="18"/>
                <w:szCs w:val="18"/>
              </w:rPr>
              <w:t xml:space="preserve">Objeto a Contratar </w:t>
            </w:r>
          </w:p>
        </w:tc>
        <w:tc>
          <w:tcPr>
            <w:tcW w:w="7351" w:type="dxa"/>
          </w:tcPr>
          <w:p w14:paraId="4FBE6CD8" w14:textId="0ABA8ADE" w:rsidR="002B1C50" w:rsidRPr="002B1C50" w:rsidRDefault="002B1C50" w:rsidP="002B1C50">
            <w:pPr>
              <w:shd w:val="clear" w:color="auto" w:fill="FFFFFF"/>
              <w:spacing w:line="300" w:lineRule="atLeast"/>
              <w:textAlignment w:val="center"/>
              <w:rPr>
                <w:rFonts w:ascii="Arial" w:hAnsi="Arial" w:cs="Arial"/>
                <w:color w:val="000000"/>
                <w:sz w:val="18"/>
                <w:szCs w:val="18"/>
                <w:shd w:val="clear" w:color="auto" w:fill="FFFFFF"/>
              </w:rPr>
            </w:pPr>
            <w:r w:rsidRPr="00797B3E">
              <w:rPr>
                <w:rFonts w:ascii="Arial" w:hAnsi="Arial" w:cs="Arial"/>
                <w:color w:val="000000"/>
                <w:sz w:val="18"/>
                <w:szCs w:val="18"/>
                <w:shd w:val="clear" w:color="auto" w:fill="FFFFFF"/>
              </w:rPr>
              <w:t>S</w:t>
            </w:r>
            <w:r w:rsidRPr="002B1C50">
              <w:rPr>
                <w:rFonts w:ascii="Arial" w:hAnsi="Arial" w:cs="Arial"/>
                <w:color w:val="000000"/>
                <w:sz w:val="18"/>
                <w:szCs w:val="18"/>
                <w:shd w:val="clear" w:color="auto" w:fill="FFFFFF"/>
              </w:rPr>
              <w:t>uministro, suscripción al soporte y actualización de licencias Microsoft</w:t>
            </w:r>
          </w:p>
          <w:p w14:paraId="2031007F" w14:textId="0288A8C0" w:rsidR="002B1C50" w:rsidRPr="00E7552E" w:rsidRDefault="002B1C50" w:rsidP="00326119">
            <w:pPr>
              <w:pStyle w:val="Default"/>
              <w:rPr>
                <w:sz w:val="18"/>
                <w:szCs w:val="18"/>
                <w:shd w:val="clear" w:color="auto" w:fill="FFFFFF"/>
              </w:rPr>
            </w:pPr>
          </w:p>
        </w:tc>
      </w:tr>
      <w:tr w:rsidR="002B1C50" w:rsidRPr="00E8550A" w14:paraId="7743B980" w14:textId="77777777" w:rsidTr="00326119">
        <w:tc>
          <w:tcPr>
            <w:tcW w:w="1482" w:type="dxa"/>
          </w:tcPr>
          <w:p w14:paraId="23195757" w14:textId="77777777" w:rsidR="002B1C50" w:rsidRPr="00E8550A" w:rsidRDefault="002B1C50" w:rsidP="00326119">
            <w:pPr>
              <w:pStyle w:val="Default"/>
              <w:rPr>
                <w:b/>
                <w:sz w:val="18"/>
                <w:szCs w:val="18"/>
              </w:rPr>
            </w:pPr>
            <w:r w:rsidRPr="00E8550A">
              <w:rPr>
                <w:sz w:val="18"/>
                <w:szCs w:val="18"/>
              </w:rPr>
              <w:t xml:space="preserve">Tipo de Contrato </w:t>
            </w:r>
          </w:p>
        </w:tc>
        <w:tc>
          <w:tcPr>
            <w:tcW w:w="7351" w:type="dxa"/>
          </w:tcPr>
          <w:p w14:paraId="1E387741" w14:textId="77777777" w:rsidR="002B1C50" w:rsidRPr="00797B3E" w:rsidRDefault="002B1C50" w:rsidP="00326119">
            <w:pPr>
              <w:pStyle w:val="Default"/>
              <w:rPr>
                <w:sz w:val="18"/>
                <w:szCs w:val="18"/>
                <w:shd w:val="clear" w:color="auto" w:fill="FFFFFF"/>
              </w:rPr>
            </w:pPr>
            <w:r w:rsidRPr="00797B3E">
              <w:rPr>
                <w:sz w:val="18"/>
                <w:szCs w:val="18"/>
                <w:shd w:val="clear" w:color="auto" w:fill="FFFFFF"/>
              </w:rPr>
              <w:t>Orden de Compra</w:t>
            </w:r>
          </w:p>
        </w:tc>
      </w:tr>
      <w:tr w:rsidR="002B1C50" w:rsidRPr="00E8550A" w14:paraId="4245844A" w14:textId="77777777" w:rsidTr="00326119">
        <w:tc>
          <w:tcPr>
            <w:tcW w:w="1482" w:type="dxa"/>
          </w:tcPr>
          <w:p w14:paraId="7C3048E0" w14:textId="77777777" w:rsidR="002B1C50" w:rsidRPr="00E8550A" w:rsidRDefault="002B1C50" w:rsidP="00326119">
            <w:pPr>
              <w:pStyle w:val="Default"/>
              <w:rPr>
                <w:b/>
                <w:sz w:val="18"/>
                <w:szCs w:val="18"/>
              </w:rPr>
            </w:pPr>
            <w:r w:rsidRPr="00E8550A">
              <w:rPr>
                <w:sz w:val="18"/>
                <w:szCs w:val="18"/>
              </w:rPr>
              <w:t xml:space="preserve">Estado del Contrato </w:t>
            </w:r>
          </w:p>
        </w:tc>
        <w:tc>
          <w:tcPr>
            <w:tcW w:w="7351" w:type="dxa"/>
          </w:tcPr>
          <w:p w14:paraId="6368B06F" w14:textId="77777777" w:rsidR="002B1C50" w:rsidRPr="00797B3E" w:rsidRDefault="002B1C50" w:rsidP="00326119">
            <w:pPr>
              <w:pStyle w:val="Default"/>
              <w:rPr>
                <w:sz w:val="18"/>
                <w:szCs w:val="18"/>
                <w:shd w:val="clear" w:color="auto" w:fill="FFFFFF"/>
              </w:rPr>
            </w:pPr>
            <w:r w:rsidRPr="00797B3E">
              <w:rPr>
                <w:sz w:val="18"/>
                <w:szCs w:val="18"/>
                <w:shd w:val="clear" w:color="auto" w:fill="FFFFFF"/>
              </w:rPr>
              <w:t xml:space="preserve">Emitida </w:t>
            </w:r>
          </w:p>
        </w:tc>
      </w:tr>
      <w:tr w:rsidR="002B1C50" w:rsidRPr="00E8550A" w14:paraId="22A409CA" w14:textId="77777777" w:rsidTr="00326119">
        <w:tc>
          <w:tcPr>
            <w:tcW w:w="1482" w:type="dxa"/>
          </w:tcPr>
          <w:p w14:paraId="7FF0EF48" w14:textId="77777777" w:rsidR="002B1C50" w:rsidRPr="00E8550A" w:rsidRDefault="002B1C50" w:rsidP="00326119">
            <w:pPr>
              <w:pStyle w:val="Default"/>
              <w:rPr>
                <w:b/>
                <w:sz w:val="18"/>
                <w:szCs w:val="18"/>
              </w:rPr>
            </w:pPr>
            <w:r w:rsidRPr="00E8550A">
              <w:rPr>
                <w:sz w:val="18"/>
                <w:szCs w:val="18"/>
              </w:rPr>
              <w:t xml:space="preserve">Cuantía Definitiva del Contrato </w:t>
            </w:r>
          </w:p>
        </w:tc>
        <w:tc>
          <w:tcPr>
            <w:tcW w:w="7351" w:type="dxa"/>
          </w:tcPr>
          <w:p w14:paraId="5918ACA5" w14:textId="336AA9F6" w:rsidR="002B1C50" w:rsidRPr="00797B3E" w:rsidRDefault="002B1C50" w:rsidP="00326119">
            <w:pPr>
              <w:pStyle w:val="Prrafodelista"/>
              <w:spacing w:after="160" w:line="259" w:lineRule="auto"/>
              <w:ind w:left="0"/>
              <w:rPr>
                <w:rFonts w:ascii="Arial" w:hAnsi="Arial" w:cs="Arial"/>
                <w:color w:val="000000"/>
                <w:sz w:val="18"/>
                <w:szCs w:val="18"/>
                <w:shd w:val="clear" w:color="auto" w:fill="FFFFFF"/>
              </w:rPr>
            </w:pPr>
            <w:r w:rsidRPr="00797B3E">
              <w:rPr>
                <w:rFonts w:ascii="Arial" w:hAnsi="Arial" w:cs="Arial"/>
                <w:color w:val="000000"/>
                <w:sz w:val="18"/>
                <w:szCs w:val="18"/>
                <w:shd w:val="clear" w:color="auto" w:fill="FFFFFF"/>
              </w:rPr>
              <w:t>$</w:t>
            </w:r>
            <w:r w:rsidR="00797B3E" w:rsidRPr="00797B3E">
              <w:rPr>
                <w:rFonts w:ascii="Arial" w:hAnsi="Arial" w:cs="Arial"/>
                <w:color w:val="000000"/>
                <w:sz w:val="18"/>
                <w:szCs w:val="18"/>
                <w:shd w:val="clear" w:color="auto" w:fill="FFFFFF"/>
              </w:rPr>
              <w:t xml:space="preserve"> 500.196.162,70</w:t>
            </w:r>
          </w:p>
        </w:tc>
      </w:tr>
      <w:tr w:rsidR="002B1C50" w:rsidRPr="00E8550A" w14:paraId="09B4BA4A" w14:textId="77777777" w:rsidTr="00326119">
        <w:tc>
          <w:tcPr>
            <w:tcW w:w="1482" w:type="dxa"/>
          </w:tcPr>
          <w:p w14:paraId="0A1847AE" w14:textId="77777777" w:rsidR="002B1C50" w:rsidRPr="00E8550A" w:rsidRDefault="002B1C50" w:rsidP="00326119">
            <w:pPr>
              <w:pStyle w:val="Default"/>
              <w:rPr>
                <w:b/>
                <w:sz w:val="18"/>
                <w:szCs w:val="18"/>
              </w:rPr>
            </w:pPr>
            <w:r w:rsidRPr="00E8550A">
              <w:rPr>
                <w:sz w:val="18"/>
                <w:szCs w:val="18"/>
              </w:rPr>
              <w:t xml:space="preserve">Nombre o Razón Social del Contratista </w:t>
            </w:r>
          </w:p>
        </w:tc>
        <w:tc>
          <w:tcPr>
            <w:tcW w:w="7351" w:type="dxa"/>
          </w:tcPr>
          <w:p w14:paraId="56C7CD24" w14:textId="77777777" w:rsidR="00797B3E" w:rsidRPr="00797B3E" w:rsidRDefault="00797B3E" w:rsidP="00797B3E">
            <w:pPr>
              <w:shd w:val="clear" w:color="auto" w:fill="FFFFFF"/>
              <w:spacing w:line="300" w:lineRule="atLeast"/>
              <w:textAlignment w:val="center"/>
              <w:rPr>
                <w:rFonts w:ascii="Arial" w:hAnsi="Arial" w:cs="Arial"/>
                <w:color w:val="000000"/>
                <w:sz w:val="18"/>
                <w:szCs w:val="18"/>
                <w:shd w:val="clear" w:color="auto" w:fill="FFFFFF"/>
              </w:rPr>
            </w:pPr>
            <w:r w:rsidRPr="00797B3E">
              <w:rPr>
                <w:rFonts w:ascii="Arial" w:hAnsi="Arial" w:cs="Arial"/>
                <w:color w:val="000000"/>
                <w:sz w:val="18"/>
                <w:szCs w:val="18"/>
                <w:shd w:val="clear" w:color="auto" w:fill="FFFFFF"/>
              </w:rPr>
              <w:t>UT SOFTLINEBEX 2020</w:t>
            </w:r>
          </w:p>
          <w:p w14:paraId="608281A6" w14:textId="451F247E" w:rsidR="002B1C50" w:rsidRPr="00797B3E" w:rsidRDefault="002B1C50" w:rsidP="00326119">
            <w:pPr>
              <w:pStyle w:val="Prrafodelista"/>
              <w:spacing w:after="160" w:line="259" w:lineRule="auto"/>
              <w:ind w:left="0"/>
              <w:rPr>
                <w:rFonts w:ascii="Arial" w:hAnsi="Arial" w:cs="Arial"/>
                <w:color w:val="000000"/>
                <w:sz w:val="18"/>
                <w:szCs w:val="18"/>
                <w:shd w:val="clear" w:color="auto" w:fill="FFFFFF"/>
              </w:rPr>
            </w:pPr>
          </w:p>
        </w:tc>
      </w:tr>
      <w:tr w:rsidR="002B1C50" w:rsidRPr="00E8550A" w14:paraId="4963E6B4" w14:textId="77777777" w:rsidTr="00326119">
        <w:tc>
          <w:tcPr>
            <w:tcW w:w="1482" w:type="dxa"/>
          </w:tcPr>
          <w:p w14:paraId="755B5B75" w14:textId="77777777" w:rsidR="002B1C50" w:rsidRPr="00E8550A" w:rsidRDefault="002B1C50" w:rsidP="00326119">
            <w:pPr>
              <w:pStyle w:val="Default"/>
              <w:rPr>
                <w:sz w:val="18"/>
                <w:szCs w:val="18"/>
              </w:rPr>
            </w:pPr>
            <w:r w:rsidRPr="00E8550A">
              <w:rPr>
                <w:sz w:val="18"/>
                <w:szCs w:val="18"/>
              </w:rPr>
              <w:t xml:space="preserve">Duración del contrato </w:t>
            </w:r>
          </w:p>
        </w:tc>
        <w:tc>
          <w:tcPr>
            <w:tcW w:w="7351" w:type="dxa"/>
          </w:tcPr>
          <w:p w14:paraId="4CD088A5" w14:textId="77777777" w:rsidR="002B1C50" w:rsidRPr="00797B3E" w:rsidRDefault="002B1C50" w:rsidP="00326119">
            <w:pPr>
              <w:pStyle w:val="Default"/>
              <w:rPr>
                <w:sz w:val="18"/>
                <w:szCs w:val="18"/>
                <w:shd w:val="clear" w:color="auto" w:fill="FFFFFF"/>
              </w:rPr>
            </w:pPr>
            <w:r w:rsidRPr="00797B3E">
              <w:rPr>
                <w:sz w:val="18"/>
                <w:szCs w:val="18"/>
                <w:shd w:val="clear" w:color="auto" w:fill="FFFFFF"/>
              </w:rPr>
              <w:t xml:space="preserve">Doce (12) meses </w:t>
            </w:r>
          </w:p>
          <w:p w14:paraId="77170691" w14:textId="77777777" w:rsidR="002B1C50" w:rsidRPr="00797B3E" w:rsidRDefault="002B1C50" w:rsidP="00326119">
            <w:pPr>
              <w:pStyle w:val="Default"/>
              <w:rPr>
                <w:sz w:val="18"/>
                <w:szCs w:val="18"/>
                <w:shd w:val="clear" w:color="auto" w:fill="FFFFFF"/>
              </w:rPr>
            </w:pPr>
          </w:p>
        </w:tc>
      </w:tr>
      <w:tr w:rsidR="002B1C50" w:rsidRPr="002B1C50" w14:paraId="28983018" w14:textId="77777777" w:rsidTr="00326119">
        <w:tc>
          <w:tcPr>
            <w:tcW w:w="1482" w:type="dxa"/>
          </w:tcPr>
          <w:p w14:paraId="18967550" w14:textId="77777777" w:rsidR="002B1C50" w:rsidRPr="00E8550A" w:rsidRDefault="002B1C50" w:rsidP="00326119">
            <w:pPr>
              <w:pStyle w:val="Default"/>
              <w:rPr>
                <w:sz w:val="18"/>
                <w:szCs w:val="18"/>
              </w:rPr>
            </w:pPr>
          </w:p>
          <w:p w14:paraId="5F1F4372" w14:textId="77777777" w:rsidR="002B1C50" w:rsidRPr="00E8550A" w:rsidRDefault="002B1C50" w:rsidP="00326119">
            <w:pPr>
              <w:pStyle w:val="Default"/>
              <w:rPr>
                <w:sz w:val="18"/>
                <w:szCs w:val="18"/>
              </w:rPr>
            </w:pPr>
            <w:r w:rsidRPr="00E8550A">
              <w:rPr>
                <w:sz w:val="18"/>
                <w:szCs w:val="18"/>
              </w:rPr>
              <w:t xml:space="preserve">Fuente: </w:t>
            </w:r>
          </w:p>
        </w:tc>
        <w:tc>
          <w:tcPr>
            <w:tcW w:w="7351" w:type="dxa"/>
          </w:tcPr>
          <w:p w14:paraId="4D6B4DE5" w14:textId="77777777" w:rsidR="002B1C50" w:rsidRPr="002B1C50" w:rsidRDefault="00554F9B" w:rsidP="00326119">
            <w:pPr>
              <w:pStyle w:val="Default"/>
              <w:rPr>
                <w:sz w:val="18"/>
                <w:szCs w:val="18"/>
              </w:rPr>
            </w:pPr>
            <w:hyperlink r:id="rId23" w:history="1">
              <w:proofErr w:type="spellStart"/>
              <w:r w:rsidR="002B1C50" w:rsidRPr="00797B3E">
                <w:rPr>
                  <w:rStyle w:val="Hipervnculo"/>
                  <w:i/>
                  <w:iCs/>
                  <w:sz w:val="16"/>
                  <w:szCs w:val="16"/>
                </w:rPr>
                <w:t>nicio</w:t>
              </w:r>
              <w:proofErr w:type="spellEnd"/>
            </w:hyperlink>
            <w:r w:rsidR="002B1C50" w:rsidRPr="00797B3E">
              <w:rPr>
                <w:color w:val="212529"/>
                <w:sz w:val="16"/>
                <w:szCs w:val="16"/>
                <w:shd w:val="clear" w:color="auto" w:fill="E5E5E5"/>
              </w:rPr>
              <w:t> </w:t>
            </w:r>
            <w:r w:rsidR="002B1C50" w:rsidRPr="00797B3E">
              <w:rPr>
                <w:rStyle w:val="easy-breadcrumbsegment-separator"/>
                <w:i/>
                <w:iCs/>
                <w:sz w:val="16"/>
                <w:szCs w:val="16"/>
                <w:shd w:val="clear" w:color="auto" w:fill="E5E5E5"/>
              </w:rPr>
              <w:t>/</w:t>
            </w:r>
            <w:r w:rsidR="002B1C50" w:rsidRPr="00797B3E">
              <w:rPr>
                <w:color w:val="212529"/>
                <w:sz w:val="16"/>
                <w:szCs w:val="16"/>
                <w:shd w:val="clear" w:color="auto" w:fill="E5E5E5"/>
              </w:rPr>
              <w:t> </w:t>
            </w:r>
            <w:hyperlink r:id="rId24" w:history="1">
              <w:r w:rsidR="002B1C50" w:rsidRPr="00797B3E">
                <w:rPr>
                  <w:rStyle w:val="Hipervnculo"/>
                  <w:i/>
                  <w:iCs/>
                  <w:sz w:val="16"/>
                  <w:szCs w:val="16"/>
                </w:rPr>
                <w:t>TIENDA VIRTUAL DEL ESTADO COLOMBIANO</w:t>
              </w:r>
            </w:hyperlink>
            <w:r w:rsidR="002B1C50" w:rsidRPr="00797B3E">
              <w:rPr>
                <w:color w:val="212529"/>
                <w:sz w:val="16"/>
                <w:szCs w:val="16"/>
                <w:shd w:val="clear" w:color="auto" w:fill="E5E5E5"/>
              </w:rPr>
              <w:t> </w:t>
            </w:r>
            <w:r w:rsidR="002B1C50" w:rsidRPr="00797B3E">
              <w:rPr>
                <w:rStyle w:val="easy-breadcrumbsegment-separator"/>
                <w:i/>
                <w:iCs/>
                <w:sz w:val="16"/>
                <w:szCs w:val="16"/>
                <w:shd w:val="clear" w:color="auto" w:fill="E5E5E5"/>
              </w:rPr>
              <w:t>/</w:t>
            </w:r>
            <w:r w:rsidR="002B1C50" w:rsidRPr="00797B3E">
              <w:rPr>
                <w:color w:val="212529"/>
                <w:sz w:val="16"/>
                <w:szCs w:val="16"/>
                <w:shd w:val="clear" w:color="auto" w:fill="E5E5E5"/>
              </w:rPr>
              <w:t> </w:t>
            </w:r>
            <w:r w:rsidR="002B1C50" w:rsidRPr="00797B3E">
              <w:rPr>
                <w:rStyle w:val="easy-breadcrumbsegment"/>
                <w:i/>
                <w:iCs/>
                <w:sz w:val="16"/>
                <w:szCs w:val="16"/>
                <w:shd w:val="clear" w:color="auto" w:fill="E5E5E5"/>
              </w:rPr>
              <w:t xml:space="preserve">Órdenes </w:t>
            </w:r>
            <w:r w:rsidR="002B1C50">
              <w:rPr>
                <w:rStyle w:val="easy-breadcrumbsegment"/>
                <w:i/>
                <w:iCs/>
                <w:sz w:val="20"/>
                <w:szCs w:val="20"/>
                <w:shd w:val="clear" w:color="auto" w:fill="E5E5E5"/>
              </w:rPr>
              <w:t>de compra</w:t>
            </w:r>
          </w:p>
        </w:tc>
      </w:tr>
    </w:tbl>
    <w:p w14:paraId="13D640A7" w14:textId="6BFBED67" w:rsidR="002B1C50" w:rsidRDefault="002B1C50" w:rsidP="00A6415F">
      <w:pPr>
        <w:jc w:val="both"/>
        <w:rPr>
          <w:rFonts w:ascii="Calibri" w:hAnsi="Calibri" w:cs="Calibri"/>
          <w:sz w:val="20"/>
          <w:szCs w:val="20"/>
        </w:rPr>
      </w:pPr>
    </w:p>
    <w:tbl>
      <w:tblPr>
        <w:tblStyle w:val="Tablaconcuadrcula"/>
        <w:tblW w:w="8833" w:type="dxa"/>
        <w:tblInd w:w="-5" w:type="dxa"/>
        <w:tblLayout w:type="fixed"/>
        <w:tblLook w:val="04A0" w:firstRow="1" w:lastRow="0" w:firstColumn="1" w:lastColumn="0" w:noHBand="0" w:noVBand="1"/>
      </w:tblPr>
      <w:tblGrid>
        <w:gridCol w:w="1482"/>
        <w:gridCol w:w="7351"/>
      </w:tblGrid>
      <w:tr w:rsidR="00797B3E" w:rsidRPr="00E8550A" w14:paraId="2502E58B" w14:textId="77777777" w:rsidTr="00326119">
        <w:tc>
          <w:tcPr>
            <w:tcW w:w="1482" w:type="dxa"/>
          </w:tcPr>
          <w:p w14:paraId="526713F5" w14:textId="77777777" w:rsidR="00797B3E" w:rsidRPr="00E8550A" w:rsidRDefault="00797B3E" w:rsidP="00326119">
            <w:pPr>
              <w:pStyle w:val="Default"/>
              <w:rPr>
                <w:b/>
                <w:sz w:val="18"/>
                <w:szCs w:val="18"/>
              </w:rPr>
            </w:pPr>
            <w:r w:rsidRPr="00E8550A">
              <w:rPr>
                <w:b/>
                <w:bCs/>
                <w:sz w:val="18"/>
                <w:szCs w:val="18"/>
              </w:rPr>
              <w:t xml:space="preserve">Entidad Contratante </w:t>
            </w:r>
          </w:p>
        </w:tc>
        <w:tc>
          <w:tcPr>
            <w:tcW w:w="7351" w:type="dxa"/>
          </w:tcPr>
          <w:p w14:paraId="68803FED" w14:textId="77777777" w:rsidR="00734B5A" w:rsidRPr="00734B5A" w:rsidRDefault="00734B5A" w:rsidP="00734B5A">
            <w:pPr>
              <w:shd w:val="clear" w:color="auto" w:fill="FFFFFF"/>
              <w:spacing w:line="300" w:lineRule="atLeast"/>
              <w:textAlignment w:val="center"/>
              <w:rPr>
                <w:rFonts w:ascii="Arial" w:hAnsi="Arial" w:cs="Arial"/>
                <w:b/>
                <w:bCs/>
                <w:color w:val="000000"/>
                <w:sz w:val="18"/>
                <w:szCs w:val="18"/>
              </w:rPr>
            </w:pPr>
            <w:r w:rsidRPr="00734B5A">
              <w:rPr>
                <w:rFonts w:ascii="Arial" w:hAnsi="Arial" w:cs="Arial"/>
                <w:b/>
                <w:bCs/>
                <w:color w:val="000000"/>
                <w:sz w:val="18"/>
                <w:szCs w:val="18"/>
              </w:rPr>
              <w:t>UNIVERSIDAD MILITAR NUEVA GRANADA</w:t>
            </w:r>
          </w:p>
          <w:p w14:paraId="53CAC560" w14:textId="77777777" w:rsidR="00797B3E" w:rsidRPr="00E8550A" w:rsidRDefault="00797B3E" w:rsidP="00326119">
            <w:pPr>
              <w:pStyle w:val="Default"/>
              <w:rPr>
                <w:b/>
                <w:sz w:val="18"/>
                <w:szCs w:val="18"/>
              </w:rPr>
            </w:pPr>
          </w:p>
        </w:tc>
      </w:tr>
      <w:tr w:rsidR="00797B3E" w:rsidRPr="00E8550A" w14:paraId="6E91494F" w14:textId="77777777" w:rsidTr="00326119">
        <w:tc>
          <w:tcPr>
            <w:tcW w:w="1482" w:type="dxa"/>
          </w:tcPr>
          <w:p w14:paraId="7B2CCE06" w14:textId="77777777" w:rsidR="00797B3E" w:rsidRPr="00E8550A" w:rsidRDefault="00797B3E" w:rsidP="00326119">
            <w:pPr>
              <w:pStyle w:val="Default"/>
              <w:rPr>
                <w:b/>
                <w:sz w:val="18"/>
                <w:szCs w:val="18"/>
              </w:rPr>
            </w:pPr>
            <w:r w:rsidRPr="00E8550A">
              <w:rPr>
                <w:sz w:val="18"/>
                <w:szCs w:val="18"/>
              </w:rPr>
              <w:t xml:space="preserve">No. de proceso </w:t>
            </w:r>
          </w:p>
        </w:tc>
        <w:tc>
          <w:tcPr>
            <w:tcW w:w="7351" w:type="dxa"/>
          </w:tcPr>
          <w:p w14:paraId="7A92D8BA" w14:textId="6683AD20" w:rsidR="00797B3E" w:rsidRPr="00797B3E" w:rsidRDefault="00797B3E" w:rsidP="00734B5A">
            <w:pPr>
              <w:pStyle w:val="Ttulo1"/>
              <w:shd w:val="clear" w:color="auto" w:fill="FFFFFF"/>
              <w:outlineLvl w:val="0"/>
              <w:rPr>
                <w:rFonts w:ascii="Arial" w:hAnsi="Arial" w:cs="Arial"/>
                <w:color w:val="000000"/>
                <w:sz w:val="18"/>
                <w:szCs w:val="18"/>
                <w:shd w:val="clear" w:color="auto" w:fill="FFFFFF"/>
              </w:rPr>
            </w:pPr>
            <w:r w:rsidRPr="00797B3E">
              <w:rPr>
                <w:rFonts w:ascii="Arial" w:eastAsiaTheme="minorHAnsi" w:hAnsi="Arial" w:cs="Arial"/>
                <w:color w:val="000000"/>
                <w:sz w:val="18"/>
                <w:szCs w:val="18"/>
                <w:shd w:val="clear" w:color="auto" w:fill="FFFFFF"/>
              </w:rPr>
              <w:t xml:space="preserve">ORDEN DE COMPRA </w:t>
            </w:r>
            <w:r w:rsidR="00734B5A" w:rsidRPr="00734B5A">
              <w:rPr>
                <w:rFonts w:ascii="Arial" w:eastAsiaTheme="minorHAnsi" w:hAnsi="Arial" w:cs="Arial"/>
                <w:color w:val="000000"/>
                <w:sz w:val="18"/>
                <w:szCs w:val="18"/>
                <w:shd w:val="clear" w:color="auto" w:fill="FFFFFF"/>
              </w:rPr>
              <w:t>56236</w:t>
            </w:r>
          </w:p>
        </w:tc>
      </w:tr>
      <w:tr w:rsidR="00797B3E" w:rsidRPr="00E8550A" w14:paraId="059EBE5F" w14:textId="77777777" w:rsidTr="00326119">
        <w:tc>
          <w:tcPr>
            <w:tcW w:w="1482" w:type="dxa"/>
          </w:tcPr>
          <w:p w14:paraId="56B65D19" w14:textId="77777777" w:rsidR="00797B3E" w:rsidRPr="00E8550A" w:rsidRDefault="00797B3E" w:rsidP="00326119">
            <w:pPr>
              <w:pStyle w:val="Default"/>
              <w:rPr>
                <w:b/>
                <w:sz w:val="18"/>
                <w:szCs w:val="18"/>
              </w:rPr>
            </w:pPr>
            <w:r w:rsidRPr="00E8550A">
              <w:rPr>
                <w:sz w:val="18"/>
                <w:szCs w:val="18"/>
              </w:rPr>
              <w:t xml:space="preserve">Tipo de Proceso </w:t>
            </w:r>
          </w:p>
        </w:tc>
        <w:tc>
          <w:tcPr>
            <w:tcW w:w="7351" w:type="dxa"/>
          </w:tcPr>
          <w:p w14:paraId="2D1E7C99" w14:textId="77777777" w:rsidR="00797B3E" w:rsidRPr="00797B3E" w:rsidRDefault="00797B3E" w:rsidP="00326119">
            <w:pPr>
              <w:pStyle w:val="Default"/>
              <w:rPr>
                <w:sz w:val="18"/>
                <w:szCs w:val="18"/>
                <w:shd w:val="clear" w:color="auto" w:fill="FFFFFF"/>
              </w:rPr>
            </w:pPr>
            <w:r>
              <w:rPr>
                <w:sz w:val="18"/>
                <w:szCs w:val="18"/>
                <w:shd w:val="clear" w:color="auto" w:fill="FFFFFF"/>
              </w:rPr>
              <w:t>Acuerdo Marco – Instrumento Agregación de Demanda</w:t>
            </w:r>
          </w:p>
        </w:tc>
      </w:tr>
      <w:tr w:rsidR="00797B3E" w:rsidRPr="00E8550A" w14:paraId="1B02F72F" w14:textId="77777777" w:rsidTr="00326119">
        <w:trPr>
          <w:trHeight w:val="532"/>
        </w:trPr>
        <w:tc>
          <w:tcPr>
            <w:tcW w:w="1482" w:type="dxa"/>
          </w:tcPr>
          <w:p w14:paraId="35F9EC3F" w14:textId="77777777" w:rsidR="00797B3E" w:rsidRPr="00E8550A" w:rsidRDefault="00797B3E" w:rsidP="00326119">
            <w:pPr>
              <w:pStyle w:val="Default"/>
              <w:rPr>
                <w:b/>
                <w:sz w:val="18"/>
                <w:szCs w:val="18"/>
              </w:rPr>
            </w:pPr>
            <w:r w:rsidRPr="00E8550A">
              <w:rPr>
                <w:sz w:val="18"/>
                <w:szCs w:val="18"/>
              </w:rPr>
              <w:t xml:space="preserve">Objeto a Contratar </w:t>
            </w:r>
          </w:p>
        </w:tc>
        <w:tc>
          <w:tcPr>
            <w:tcW w:w="7351" w:type="dxa"/>
          </w:tcPr>
          <w:p w14:paraId="3AB3B3BC" w14:textId="4683A533" w:rsidR="00797B3E" w:rsidRPr="00E7552E" w:rsidRDefault="00734B5A" w:rsidP="00326119">
            <w:pPr>
              <w:pStyle w:val="Default"/>
              <w:rPr>
                <w:sz w:val="18"/>
                <w:szCs w:val="18"/>
                <w:shd w:val="clear" w:color="auto" w:fill="FFFFFF"/>
              </w:rPr>
            </w:pPr>
            <w:r>
              <w:rPr>
                <w:color w:val="666666"/>
                <w:sz w:val="20"/>
                <w:szCs w:val="20"/>
                <w:shd w:val="clear" w:color="auto" w:fill="FFFFFF"/>
              </w:rPr>
              <w:t>La Universidad Militar Nueva Granada requiere para su operación administrativa y académica contar con el licenciamiento de los productos Microsoft, el cual permite cubrir la totalidad de los equipos de cómputo con sistema operativos Windows para PC y la suite de Office en su última versión, por un periodo de doce (12) meses cubriendo así las diferentes unidades académicas y administrativas que componen la Institución.</w:t>
            </w:r>
          </w:p>
        </w:tc>
      </w:tr>
      <w:tr w:rsidR="00797B3E" w:rsidRPr="00E8550A" w14:paraId="710109DF" w14:textId="77777777" w:rsidTr="00326119">
        <w:tc>
          <w:tcPr>
            <w:tcW w:w="1482" w:type="dxa"/>
          </w:tcPr>
          <w:p w14:paraId="5BD18F47" w14:textId="77777777" w:rsidR="00797B3E" w:rsidRPr="00E8550A" w:rsidRDefault="00797B3E" w:rsidP="00326119">
            <w:pPr>
              <w:pStyle w:val="Default"/>
              <w:rPr>
                <w:b/>
                <w:sz w:val="18"/>
                <w:szCs w:val="18"/>
              </w:rPr>
            </w:pPr>
            <w:r w:rsidRPr="00E8550A">
              <w:rPr>
                <w:sz w:val="18"/>
                <w:szCs w:val="18"/>
              </w:rPr>
              <w:lastRenderedPageBreak/>
              <w:t xml:space="preserve">Tipo de Contrato </w:t>
            </w:r>
          </w:p>
        </w:tc>
        <w:tc>
          <w:tcPr>
            <w:tcW w:w="7351" w:type="dxa"/>
          </w:tcPr>
          <w:p w14:paraId="11728265" w14:textId="77777777" w:rsidR="00797B3E" w:rsidRPr="00797B3E" w:rsidRDefault="00797B3E" w:rsidP="00326119">
            <w:pPr>
              <w:pStyle w:val="Default"/>
              <w:rPr>
                <w:sz w:val="18"/>
                <w:szCs w:val="18"/>
                <w:shd w:val="clear" w:color="auto" w:fill="FFFFFF"/>
              </w:rPr>
            </w:pPr>
            <w:r w:rsidRPr="00797B3E">
              <w:rPr>
                <w:sz w:val="18"/>
                <w:szCs w:val="18"/>
                <w:shd w:val="clear" w:color="auto" w:fill="FFFFFF"/>
              </w:rPr>
              <w:t>Orden de Compra</w:t>
            </w:r>
          </w:p>
        </w:tc>
      </w:tr>
      <w:tr w:rsidR="00797B3E" w:rsidRPr="00E8550A" w14:paraId="22409327" w14:textId="77777777" w:rsidTr="00326119">
        <w:tc>
          <w:tcPr>
            <w:tcW w:w="1482" w:type="dxa"/>
          </w:tcPr>
          <w:p w14:paraId="4FE49E28" w14:textId="77777777" w:rsidR="00797B3E" w:rsidRPr="00E8550A" w:rsidRDefault="00797B3E" w:rsidP="00326119">
            <w:pPr>
              <w:pStyle w:val="Default"/>
              <w:rPr>
                <w:b/>
                <w:sz w:val="18"/>
                <w:szCs w:val="18"/>
              </w:rPr>
            </w:pPr>
            <w:r w:rsidRPr="00E8550A">
              <w:rPr>
                <w:sz w:val="18"/>
                <w:szCs w:val="18"/>
              </w:rPr>
              <w:t xml:space="preserve">Estado del Contrato </w:t>
            </w:r>
          </w:p>
        </w:tc>
        <w:tc>
          <w:tcPr>
            <w:tcW w:w="7351" w:type="dxa"/>
          </w:tcPr>
          <w:p w14:paraId="10943EF9" w14:textId="77777777" w:rsidR="00797B3E" w:rsidRPr="00797B3E" w:rsidRDefault="00797B3E" w:rsidP="00326119">
            <w:pPr>
              <w:pStyle w:val="Default"/>
              <w:rPr>
                <w:sz w:val="18"/>
                <w:szCs w:val="18"/>
                <w:shd w:val="clear" w:color="auto" w:fill="FFFFFF"/>
              </w:rPr>
            </w:pPr>
            <w:r w:rsidRPr="00797B3E">
              <w:rPr>
                <w:sz w:val="18"/>
                <w:szCs w:val="18"/>
                <w:shd w:val="clear" w:color="auto" w:fill="FFFFFF"/>
              </w:rPr>
              <w:t xml:space="preserve">Emitida </w:t>
            </w:r>
          </w:p>
        </w:tc>
      </w:tr>
      <w:tr w:rsidR="00797B3E" w:rsidRPr="00E8550A" w14:paraId="66DA2E35" w14:textId="77777777" w:rsidTr="00326119">
        <w:tc>
          <w:tcPr>
            <w:tcW w:w="1482" w:type="dxa"/>
          </w:tcPr>
          <w:p w14:paraId="2259F797" w14:textId="77777777" w:rsidR="00797B3E" w:rsidRPr="00E8550A" w:rsidRDefault="00797B3E" w:rsidP="00326119">
            <w:pPr>
              <w:pStyle w:val="Default"/>
              <w:rPr>
                <w:b/>
                <w:sz w:val="18"/>
                <w:szCs w:val="18"/>
              </w:rPr>
            </w:pPr>
            <w:r w:rsidRPr="00E8550A">
              <w:rPr>
                <w:sz w:val="18"/>
                <w:szCs w:val="18"/>
              </w:rPr>
              <w:t xml:space="preserve">Cuantía Definitiva del Contrato </w:t>
            </w:r>
          </w:p>
        </w:tc>
        <w:tc>
          <w:tcPr>
            <w:tcW w:w="7351" w:type="dxa"/>
          </w:tcPr>
          <w:p w14:paraId="707C2D13" w14:textId="2F0E7277" w:rsidR="00797B3E" w:rsidRPr="00797B3E" w:rsidRDefault="00797B3E" w:rsidP="00326119">
            <w:pPr>
              <w:pStyle w:val="Prrafodelista"/>
              <w:spacing w:after="160" w:line="259" w:lineRule="auto"/>
              <w:ind w:left="0"/>
              <w:rPr>
                <w:rFonts w:ascii="Arial" w:hAnsi="Arial" w:cs="Arial"/>
                <w:color w:val="000000"/>
                <w:sz w:val="18"/>
                <w:szCs w:val="18"/>
                <w:shd w:val="clear" w:color="auto" w:fill="FFFFFF"/>
              </w:rPr>
            </w:pPr>
            <w:r w:rsidRPr="00797B3E">
              <w:rPr>
                <w:rFonts w:ascii="Arial" w:hAnsi="Arial" w:cs="Arial"/>
                <w:color w:val="000000"/>
                <w:sz w:val="18"/>
                <w:szCs w:val="18"/>
                <w:shd w:val="clear" w:color="auto" w:fill="FFFFFF"/>
              </w:rPr>
              <w:t xml:space="preserve">$ </w:t>
            </w:r>
            <w:r w:rsidR="00734B5A" w:rsidRPr="00734B5A">
              <w:rPr>
                <w:rFonts w:ascii="Arial" w:hAnsi="Arial" w:cs="Arial"/>
                <w:color w:val="000000"/>
                <w:sz w:val="18"/>
                <w:szCs w:val="18"/>
              </w:rPr>
              <w:t>309.442.042</w:t>
            </w:r>
          </w:p>
        </w:tc>
      </w:tr>
      <w:tr w:rsidR="00797B3E" w:rsidRPr="00E8550A" w14:paraId="6620A4C1" w14:textId="77777777" w:rsidTr="00326119">
        <w:tc>
          <w:tcPr>
            <w:tcW w:w="1482" w:type="dxa"/>
          </w:tcPr>
          <w:p w14:paraId="5B2B8E47" w14:textId="77777777" w:rsidR="00797B3E" w:rsidRPr="00E8550A" w:rsidRDefault="00797B3E" w:rsidP="00326119">
            <w:pPr>
              <w:pStyle w:val="Default"/>
              <w:rPr>
                <w:b/>
                <w:sz w:val="18"/>
                <w:szCs w:val="18"/>
              </w:rPr>
            </w:pPr>
            <w:r w:rsidRPr="00E8550A">
              <w:rPr>
                <w:sz w:val="18"/>
                <w:szCs w:val="18"/>
              </w:rPr>
              <w:t xml:space="preserve">Nombre o Razón Social del Contratista </w:t>
            </w:r>
          </w:p>
        </w:tc>
        <w:tc>
          <w:tcPr>
            <w:tcW w:w="7351" w:type="dxa"/>
          </w:tcPr>
          <w:p w14:paraId="229C6D7A" w14:textId="175D893D" w:rsidR="00797B3E" w:rsidRPr="00734B5A" w:rsidRDefault="00734B5A" w:rsidP="00734B5A">
            <w:pPr>
              <w:pStyle w:val="Default"/>
              <w:rPr>
                <w:color w:val="666666"/>
                <w:sz w:val="20"/>
                <w:szCs w:val="20"/>
                <w:shd w:val="clear" w:color="auto" w:fill="FFFFFF"/>
              </w:rPr>
            </w:pPr>
            <w:r w:rsidRPr="00734B5A">
              <w:rPr>
                <w:sz w:val="18"/>
                <w:szCs w:val="18"/>
              </w:rPr>
              <w:t>Unión Temporal DELL EMC</w:t>
            </w:r>
          </w:p>
        </w:tc>
      </w:tr>
      <w:tr w:rsidR="00797B3E" w:rsidRPr="00E8550A" w14:paraId="401F0ED7" w14:textId="77777777" w:rsidTr="00326119">
        <w:tc>
          <w:tcPr>
            <w:tcW w:w="1482" w:type="dxa"/>
          </w:tcPr>
          <w:p w14:paraId="0D5D6C3D" w14:textId="77777777" w:rsidR="00797B3E" w:rsidRPr="00E8550A" w:rsidRDefault="00797B3E" w:rsidP="00326119">
            <w:pPr>
              <w:pStyle w:val="Default"/>
              <w:rPr>
                <w:sz w:val="18"/>
                <w:szCs w:val="18"/>
              </w:rPr>
            </w:pPr>
            <w:r w:rsidRPr="00E8550A">
              <w:rPr>
                <w:sz w:val="18"/>
                <w:szCs w:val="18"/>
              </w:rPr>
              <w:t xml:space="preserve">Duración del contrato </w:t>
            </w:r>
          </w:p>
        </w:tc>
        <w:tc>
          <w:tcPr>
            <w:tcW w:w="7351" w:type="dxa"/>
          </w:tcPr>
          <w:p w14:paraId="540E17C2" w14:textId="77777777" w:rsidR="00797B3E" w:rsidRPr="00797B3E" w:rsidRDefault="00797B3E" w:rsidP="00326119">
            <w:pPr>
              <w:pStyle w:val="Default"/>
              <w:rPr>
                <w:sz w:val="18"/>
                <w:szCs w:val="18"/>
                <w:shd w:val="clear" w:color="auto" w:fill="FFFFFF"/>
              </w:rPr>
            </w:pPr>
            <w:r w:rsidRPr="00797B3E">
              <w:rPr>
                <w:sz w:val="18"/>
                <w:szCs w:val="18"/>
                <w:shd w:val="clear" w:color="auto" w:fill="FFFFFF"/>
              </w:rPr>
              <w:t xml:space="preserve">Doce (12) meses </w:t>
            </w:r>
          </w:p>
          <w:p w14:paraId="3BB23EC6" w14:textId="77777777" w:rsidR="00797B3E" w:rsidRPr="00797B3E" w:rsidRDefault="00797B3E" w:rsidP="00326119">
            <w:pPr>
              <w:pStyle w:val="Default"/>
              <w:rPr>
                <w:sz w:val="18"/>
                <w:szCs w:val="18"/>
                <w:shd w:val="clear" w:color="auto" w:fill="FFFFFF"/>
              </w:rPr>
            </w:pPr>
          </w:p>
        </w:tc>
      </w:tr>
      <w:tr w:rsidR="00797B3E" w:rsidRPr="002B1C50" w14:paraId="5A4BC2A9" w14:textId="77777777" w:rsidTr="00326119">
        <w:tc>
          <w:tcPr>
            <w:tcW w:w="1482" w:type="dxa"/>
          </w:tcPr>
          <w:p w14:paraId="028930F1" w14:textId="77777777" w:rsidR="00797B3E" w:rsidRPr="00E8550A" w:rsidRDefault="00797B3E" w:rsidP="00326119">
            <w:pPr>
              <w:pStyle w:val="Default"/>
              <w:rPr>
                <w:sz w:val="18"/>
                <w:szCs w:val="18"/>
              </w:rPr>
            </w:pPr>
          </w:p>
          <w:p w14:paraId="64273111" w14:textId="77777777" w:rsidR="00797B3E" w:rsidRPr="00E8550A" w:rsidRDefault="00797B3E" w:rsidP="00326119">
            <w:pPr>
              <w:pStyle w:val="Default"/>
              <w:rPr>
                <w:sz w:val="18"/>
                <w:szCs w:val="18"/>
              </w:rPr>
            </w:pPr>
            <w:r w:rsidRPr="00E8550A">
              <w:rPr>
                <w:sz w:val="18"/>
                <w:szCs w:val="18"/>
              </w:rPr>
              <w:t xml:space="preserve">Fuente: </w:t>
            </w:r>
          </w:p>
        </w:tc>
        <w:tc>
          <w:tcPr>
            <w:tcW w:w="7351" w:type="dxa"/>
          </w:tcPr>
          <w:p w14:paraId="4E9236C3" w14:textId="77777777" w:rsidR="00797B3E" w:rsidRPr="002B1C50" w:rsidRDefault="00554F9B" w:rsidP="00326119">
            <w:pPr>
              <w:pStyle w:val="Default"/>
              <w:rPr>
                <w:sz w:val="18"/>
                <w:szCs w:val="18"/>
              </w:rPr>
            </w:pPr>
            <w:hyperlink r:id="rId25" w:history="1">
              <w:proofErr w:type="spellStart"/>
              <w:r w:rsidR="00797B3E" w:rsidRPr="00797B3E">
                <w:rPr>
                  <w:rStyle w:val="Hipervnculo"/>
                  <w:i/>
                  <w:iCs/>
                  <w:sz w:val="16"/>
                  <w:szCs w:val="16"/>
                </w:rPr>
                <w:t>nicio</w:t>
              </w:r>
              <w:proofErr w:type="spellEnd"/>
            </w:hyperlink>
            <w:r w:rsidR="00797B3E" w:rsidRPr="00797B3E">
              <w:rPr>
                <w:color w:val="212529"/>
                <w:sz w:val="16"/>
                <w:szCs w:val="16"/>
                <w:shd w:val="clear" w:color="auto" w:fill="E5E5E5"/>
              </w:rPr>
              <w:t> </w:t>
            </w:r>
            <w:r w:rsidR="00797B3E" w:rsidRPr="00797B3E">
              <w:rPr>
                <w:rStyle w:val="easy-breadcrumbsegment-separator"/>
                <w:i/>
                <w:iCs/>
                <w:sz w:val="16"/>
                <w:szCs w:val="16"/>
                <w:shd w:val="clear" w:color="auto" w:fill="E5E5E5"/>
              </w:rPr>
              <w:t>/</w:t>
            </w:r>
            <w:r w:rsidR="00797B3E" w:rsidRPr="00797B3E">
              <w:rPr>
                <w:color w:val="212529"/>
                <w:sz w:val="16"/>
                <w:szCs w:val="16"/>
                <w:shd w:val="clear" w:color="auto" w:fill="E5E5E5"/>
              </w:rPr>
              <w:t> </w:t>
            </w:r>
            <w:hyperlink r:id="rId26" w:history="1">
              <w:r w:rsidR="00797B3E" w:rsidRPr="00797B3E">
                <w:rPr>
                  <w:rStyle w:val="Hipervnculo"/>
                  <w:i/>
                  <w:iCs/>
                  <w:sz w:val="16"/>
                  <w:szCs w:val="16"/>
                </w:rPr>
                <w:t>TIENDA VIRTUAL DEL ESTADO COLOMBIANO</w:t>
              </w:r>
            </w:hyperlink>
            <w:r w:rsidR="00797B3E" w:rsidRPr="00797B3E">
              <w:rPr>
                <w:color w:val="212529"/>
                <w:sz w:val="16"/>
                <w:szCs w:val="16"/>
                <w:shd w:val="clear" w:color="auto" w:fill="E5E5E5"/>
              </w:rPr>
              <w:t> </w:t>
            </w:r>
            <w:r w:rsidR="00797B3E" w:rsidRPr="00797B3E">
              <w:rPr>
                <w:rStyle w:val="easy-breadcrumbsegment-separator"/>
                <w:i/>
                <w:iCs/>
                <w:sz w:val="16"/>
                <w:szCs w:val="16"/>
                <w:shd w:val="clear" w:color="auto" w:fill="E5E5E5"/>
              </w:rPr>
              <w:t>/</w:t>
            </w:r>
            <w:r w:rsidR="00797B3E" w:rsidRPr="00797B3E">
              <w:rPr>
                <w:color w:val="212529"/>
                <w:sz w:val="16"/>
                <w:szCs w:val="16"/>
                <w:shd w:val="clear" w:color="auto" w:fill="E5E5E5"/>
              </w:rPr>
              <w:t> </w:t>
            </w:r>
            <w:r w:rsidR="00797B3E" w:rsidRPr="00797B3E">
              <w:rPr>
                <w:rStyle w:val="easy-breadcrumbsegment"/>
                <w:i/>
                <w:iCs/>
                <w:sz w:val="16"/>
                <w:szCs w:val="16"/>
                <w:shd w:val="clear" w:color="auto" w:fill="E5E5E5"/>
              </w:rPr>
              <w:t xml:space="preserve">Órdenes </w:t>
            </w:r>
            <w:r w:rsidR="00797B3E">
              <w:rPr>
                <w:rStyle w:val="easy-breadcrumbsegment"/>
                <w:i/>
                <w:iCs/>
                <w:sz w:val="20"/>
                <w:szCs w:val="20"/>
                <w:shd w:val="clear" w:color="auto" w:fill="E5E5E5"/>
              </w:rPr>
              <w:t>de compra</w:t>
            </w:r>
          </w:p>
        </w:tc>
      </w:tr>
    </w:tbl>
    <w:p w14:paraId="2B77CEA6" w14:textId="77777777" w:rsidR="00797B3E" w:rsidRDefault="00797B3E" w:rsidP="00A6415F">
      <w:pPr>
        <w:jc w:val="both"/>
        <w:rPr>
          <w:rFonts w:ascii="Calibri" w:hAnsi="Calibri" w:cs="Calibri"/>
          <w:sz w:val="20"/>
          <w:szCs w:val="20"/>
        </w:rPr>
      </w:pPr>
    </w:p>
    <w:p w14:paraId="110EB581" w14:textId="77777777" w:rsidR="00A6415F" w:rsidRPr="003F73A5" w:rsidRDefault="00A6415F" w:rsidP="00A6415F">
      <w:pPr>
        <w:pStyle w:val="Prrafodelista"/>
        <w:numPr>
          <w:ilvl w:val="0"/>
          <w:numId w:val="3"/>
        </w:numPr>
        <w:spacing w:after="160" w:line="259" w:lineRule="auto"/>
        <w:rPr>
          <w:rFonts w:ascii="Calibri" w:hAnsi="Calibri" w:cs="Calibri"/>
          <w:b/>
        </w:rPr>
      </w:pPr>
      <w:r w:rsidRPr="003F73A5">
        <w:rPr>
          <w:rFonts w:ascii="Calibri" w:hAnsi="Calibri" w:cs="Calibri"/>
          <w:b/>
        </w:rPr>
        <w:t xml:space="preserve">ANALISIS DE LA OFERTA </w:t>
      </w:r>
    </w:p>
    <w:p w14:paraId="4080DBBA" w14:textId="3B7F7676" w:rsidR="00960BD4" w:rsidRDefault="00C15B0D" w:rsidP="00A6415F">
      <w:pPr>
        <w:jc w:val="both"/>
      </w:pPr>
      <w:r>
        <w:t xml:space="preserve">Los Acuerdos Marco son herramientas de agregación de demanda que permiten a las Entidades adquirir de manera ágil los Bienes y Servicios de Características Técnicas Uniformes. (pie de página: https://www.colombiacompra.gov.co/tienda-virtual-del-estado-colombiano/acuerdos-marco). Al consultar la página </w:t>
      </w:r>
      <w:hyperlink r:id="rId27" w:history="1">
        <w:r w:rsidR="00960BD4" w:rsidRPr="00792EF0">
          <w:rPr>
            <w:rStyle w:val="Hipervnculo"/>
          </w:rPr>
          <w:t>https://www.colombiacom</w:t>
        </w:r>
      </w:hyperlink>
    </w:p>
    <w:p w14:paraId="1A903689" w14:textId="58C997B0" w:rsidR="00C15B0D" w:rsidRDefault="00734B5A" w:rsidP="00A6415F">
      <w:pPr>
        <w:jc w:val="both"/>
        <w:rPr>
          <w:rFonts w:ascii="Calibri" w:hAnsi="Calibri" w:cs="Calibri"/>
          <w:bCs/>
        </w:rPr>
      </w:pPr>
      <w:r w:rsidRPr="003F73A5">
        <w:rPr>
          <w:rFonts w:ascii="Calibri" w:hAnsi="Calibri" w:cs="Calibri"/>
          <w:bCs/>
        </w:rPr>
        <w:t>El proceso se adelantará a través del Instrumento de Agregación de Demanda para la adquisición de Software por Catálogo que requieran las entidades estatales CCE-139-IAD-2020</w:t>
      </w:r>
      <w:r>
        <w:rPr>
          <w:rFonts w:ascii="Calibri" w:hAnsi="Calibri" w:cs="Calibri"/>
          <w:bCs/>
        </w:rPr>
        <w:t xml:space="preserve">, para la </w:t>
      </w:r>
      <w:r w:rsidR="00176EDE" w:rsidRPr="00867272">
        <w:rPr>
          <w:rFonts w:ascii="Trebuchet MS" w:hAnsi="Trebuchet MS" w:cs="Arial"/>
          <w:b/>
          <w:sz w:val="20"/>
          <w:szCs w:val="20"/>
        </w:rPr>
        <w:t>ADQUISICIÓN DEL LICENCIAMIENTO, SOPORTE, SERVICIOS DE CORREO ELECTRÓNICO Y HERRAMIENTAS COLABORATIVAS PARA EL DADEP</w:t>
      </w:r>
      <w:r w:rsidR="00176EDE">
        <w:rPr>
          <w:rFonts w:ascii="Trebuchet MS" w:hAnsi="Trebuchet MS" w:cs="Arial"/>
          <w:b/>
          <w:sz w:val="20"/>
          <w:szCs w:val="20"/>
        </w:rPr>
        <w:t xml:space="preserve">. </w:t>
      </w:r>
    </w:p>
    <w:p w14:paraId="51CB1C5C" w14:textId="2A40AC73" w:rsidR="00A6415F" w:rsidRDefault="00A6415F" w:rsidP="00A6415F">
      <w:pPr>
        <w:jc w:val="both"/>
        <w:rPr>
          <w:rFonts w:ascii="Calibri" w:eastAsiaTheme="minorEastAsia" w:hAnsi="Calibri" w:cs="Calibri"/>
          <w:lang w:eastAsia="es-CO"/>
        </w:rPr>
      </w:pPr>
      <w:r w:rsidRPr="003F73A5">
        <w:rPr>
          <w:rFonts w:ascii="Calibri" w:hAnsi="Calibri" w:cs="Calibri"/>
        </w:rPr>
        <w:t>En razón a lo anterior</w:t>
      </w:r>
      <w:r w:rsidR="00286BD3" w:rsidRPr="003F73A5">
        <w:rPr>
          <w:rFonts w:ascii="Calibri" w:hAnsi="Calibri" w:cs="Calibri"/>
        </w:rPr>
        <w:t xml:space="preserve"> </w:t>
      </w:r>
      <w:r w:rsidR="00734B5A">
        <w:rPr>
          <w:rFonts w:ascii="Calibri" w:hAnsi="Calibri" w:cs="Calibri"/>
        </w:rPr>
        <w:t xml:space="preserve">y efectuado el simulador en el </w:t>
      </w:r>
      <w:r w:rsidR="00734B5A" w:rsidRPr="003F73A5">
        <w:rPr>
          <w:rFonts w:ascii="Calibri" w:hAnsi="Calibri" w:cs="Calibri"/>
          <w:bCs/>
        </w:rPr>
        <w:t>Instrumento de Agregación de Demanda para la adquisición de Software por Catálogo que requieran las entidades estatales CCE-139-IAD-2020</w:t>
      </w:r>
      <w:r w:rsidR="00734B5A">
        <w:rPr>
          <w:rFonts w:ascii="Calibri" w:hAnsi="Calibri" w:cs="Calibri"/>
        </w:rPr>
        <w:t xml:space="preserve"> </w:t>
      </w:r>
      <w:r w:rsidR="00286BD3" w:rsidRPr="003F73A5">
        <w:rPr>
          <w:rFonts w:ascii="Calibri" w:hAnsi="Calibri" w:cs="Calibri"/>
        </w:rPr>
        <w:t xml:space="preserve">se estima que el presupuesto para la presente contratación es hasta </w:t>
      </w:r>
      <w:r w:rsidRPr="003F73A5">
        <w:rPr>
          <w:rFonts w:ascii="Calibri" w:hAnsi="Calibri" w:cs="Calibri"/>
        </w:rPr>
        <w:t xml:space="preserve">por un valor </w:t>
      </w:r>
      <w:r w:rsidR="00286BD3" w:rsidRPr="003F73A5">
        <w:rPr>
          <w:rFonts w:ascii="Calibri" w:hAnsi="Calibri" w:cs="Calibri"/>
        </w:rPr>
        <w:t>d</w:t>
      </w:r>
      <w:r w:rsidRPr="003F73A5">
        <w:rPr>
          <w:rFonts w:ascii="Calibri" w:hAnsi="Calibri" w:cs="Calibri"/>
        </w:rPr>
        <w:t xml:space="preserve">e </w:t>
      </w:r>
      <w:bookmarkStart w:id="0" w:name="_Hlk45887303"/>
      <w:r w:rsidR="00AD28BF" w:rsidRPr="00F004B6">
        <w:rPr>
          <w:rFonts w:ascii="Trebuchet MS" w:hAnsi="Trebuchet MS" w:cs="Arial"/>
          <w:b/>
          <w:sz w:val="20"/>
          <w:szCs w:val="20"/>
        </w:rPr>
        <w:t>DOSCIENTOS SETENTA Y SIETE MILLONES SEISCIENTOS</w:t>
      </w:r>
      <w:r w:rsidR="00AD28BF" w:rsidRPr="00F004B6">
        <w:rPr>
          <w:rFonts w:ascii="Calibri" w:hAnsi="Calibri" w:cs="Calibri"/>
          <w:b/>
        </w:rPr>
        <w:t xml:space="preserve"> </w:t>
      </w:r>
      <w:r w:rsidR="00AD28BF" w:rsidRPr="00F004B6">
        <w:rPr>
          <w:rFonts w:ascii="Trebuchet MS" w:hAnsi="Trebuchet MS" w:cs="Arial"/>
          <w:b/>
          <w:sz w:val="20"/>
          <w:szCs w:val="20"/>
        </w:rPr>
        <w:t>OCHENTA Y SEIS MIL SEISCIENTOS TREINTA Y DOS PESOS M/CTE ($277.686.632)</w:t>
      </w:r>
      <w:r w:rsidR="00734B5A" w:rsidRPr="009264E1">
        <w:rPr>
          <w:rFonts w:ascii="Trebuchet MS" w:eastAsia="Times New Roman" w:hAnsi="Trebuchet MS" w:cs="Times New Roman"/>
          <w:sz w:val="20"/>
          <w:szCs w:val="20"/>
          <w:lang w:eastAsia="es-ES"/>
        </w:rPr>
        <w:t>,</w:t>
      </w:r>
      <w:bookmarkEnd w:id="0"/>
      <w:r w:rsidR="00734B5A">
        <w:rPr>
          <w:rFonts w:ascii="Trebuchet MS" w:eastAsia="Times New Roman" w:hAnsi="Trebuchet MS" w:cs="Times New Roman"/>
          <w:sz w:val="20"/>
          <w:szCs w:val="20"/>
          <w:lang w:eastAsia="es-ES"/>
        </w:rPr>
        <w:t xml:space="preserve"> </w:t>
      </w:r>
      <w:r w:rsidR="00734B5A" w:rsidRPr="00734B5A">
        <w:rPr>
          <w:rFonts w:ascii="Calibri" w:hAnsi="Calibri" w:cs="Calibri"/>
        </w:rPr>
        <w:t>incluidos los</w:t>
      </w:r>
      <w:r w:rsidRPr="003F73A5">
        <w:rPr>
          <w:rFonts w:ascii="Calibri" w:hAnsi="Calibri" w:cs="Calibri"/>
        </w:rPr>
        <w:t xml:space="preserve"> costos directos e indirectos como</w:t>
      </w:r>
      <w:r w:rsidRPr="003F73A5">
        <w:rPr>
          <w:rFonts w:ascii="Calibri" w:eastAsiaTheme="minorEastAsia" w:hAnsi="Calibri" w:cs="Calibri"/>
          <w:lang w:eastAsia="es-CO"/>
        </w:rPr>
        <w:t xml:space="preserve"> impuestos, tasas y contribuciones de carácter Nacional y/o Distrital vigentes.</w:t>
      </w:r>
    </w:p>
    <w:p w14:paraId="699B1C60" w14:textId="72B2AE2D" w:rsidR="00754CBF" w:rsidRPr="00754CBF" w:rsidRDefault="00754CBF" w:rsidP="00754CBF">
      <w:pPr>
        <w:pStyle w:val="Prrafodelista"/>
        <w:numPr>
          <w:ilvl w:val="0"/>
          <w:numId w:val="3"/>
        </w:numPr>
        <w:spacing w:after="0" w:line="240" w:lineRule="auto"/>
        <w:jc w:val="both"/>
        <w:rPr>
          <w:rStyle w:val="Ttulo1Car"/>
          <w:rFonts w:ascii="Tahoma" w:hAnsi="Tahoma" w:cs="Tahoma"/>
          <w:b/>
          <w:color w:val="auto"/>
          <w:sz w:val="20"/>
          <w:szCs w:val="20"/>
        </w:rPr>
      </w:pPr>
      <w:bookmarkStart w:id="1" w:name="_Toc533747329"/>
      <w:r w:rsidRPr="00754CBF">
        <w:rPr>
          <w:rStyle w:val="Ttulo1Car"/>
          <w:rFonts w:ascii="Tahoma" w:hAnsi="Tahoma" w:cs="Tahoma"/>
          <w:b/>
          <w:color w:val="auto"/>
          <w:sz w:val="20"/>
          <w:szCs w:val="20"/>
        </w:rPr>
        <w:t>ANÁLISIS DE RIESGOS</w:t>
      </w:r>
      <w:bookmarkEnd w:id="1"/>
      <w:r w:rsidRPr="00754CBF">
        <w:rPr>
          <w:rStyle w:val="Ttulo1Car"/>
          <w:rFonts w:ascii="Tahoma" w:hAnsi="Tahoma" w:cs="Tahoma"/>
          <w:color w:val="auto"/>
          <w:sz w:val="20"/>
          <w:szCs w:val="20"/>
        </w:rPr>
        <w:t xml:space="preserve">: </w:t>
      </w:r>
    </w:p>
    <w:p w14:paraId="5B7C8A90" w14:textId="77777777" w:rsidR="00734B5A" w:rsidRDefault="00734B5A" w:rsidP="00754CBF">
      <w:pPr>
        <w:pStyle w:val="NormalWeb"/>
        <w:spacing w:before="0" w:beforeAutospacing="0" w:after="200" w:afterAutospacing="0" w:line="253" w:lineRule="atLeast"/>
        <w:jc w:val="both"/>
        <w:rPr>
          <w:rFonts w:ascii="Tahoma" w:hAnsi="Tahoma" w:cs="Tahoma"/>
          <w:sz w:val="20"/>
          <w:szCs w:val="20"/>
        </w:rPr>
      </w:pPr>
    </w:p>
    <w:p w14:paraId="54300635" w14:textId="21E14E10" w:rsidR="00754CBF" w:rsidRPr="00EC30A1" w:rsidRDefault="00754CBF" w:rsidP="00754CBF">
      <w:pPr>
        <w:pStyle w:val="NormalWeb"/>
        <w:spacing w:before="0" w:beforeAutospacing="0" w:after="200" w:afterAutospacing="0" w:line="253" w:lineRule="atLeast"/>
        <w:jc w:val="both"/>
        <w:rPr>
          <w:rFonts w:ascii="Tahoma" w:hAnsi="Tahoma" w:cs="Tahoma"/>
          <w:sz w:val="20"/>
          <w:szCs w:val="20"/>
        </w:rPr>
      </w:pPr>
      <w:r w:rsidRPr="00EC30A1">
        <w:rPr>
          <w:rFonts w:ascii="Tahoma" w:hAnsi="Tahoma" w:cs="Tahoma"/>
          <w:sz w:val="20"/>
          <w:szCs w:val="20"/>
        </w:rPr>
        <w:t>De acuerdo con el Manual para la Identificación y Cobertura del Riesgo en los Procesos de Contratación de Colombia Compra Eficiente, los siguientes riesgos de tipo operacional, regulatorio y social dentro del presente estudio se encuentra en documento anexo denominado MATRIZ DE RIESGOS.</w:t>
      </w:r>
    </w:p>
    <w:p w14:paraId="0DECBAF8" w14:textId="77777777" w:rsidR="00754CBF" w:rsidRPr="003F73A5" w:rsidRDefault="00754CBF" w:rsidP="00A6415F">
      <w:pPr>
        <w:jc w:val="both"/>
        <w:rPr>
          <w:rFonts w:ascii="Calibri" w:eastAsiaTheme="minorEastAsia" w:hAnsi="Calibri" w:cs="Calibri"/>
          <w:lang w:eastAsia="es-CO"/>
        </w:rPr>
      </w:pPr>
    </w:p>
    <w:p w14:paraId="780BCAE9" w14:textId="77777777" w:rsidR="00A6415F" w:rsidRDefault="00A6415F" w:rsidP="00A6415F">
      <w:pPr>
        <w:pStyle w:val="Sinespaciado"/>
        <w:rPr>
          <w:sz w:val="16"/>
          <w:szCs w:val="16"/>
        </w:rPr>
      </w:pPr>
    </w:p>
    <w:p w14:paraId="77745682" w14:textId="3EF40124" w:rsidR="00A6415F" w:rsidRPr="00631906" w:rsidRDefault="00A6415F" w:rsidP="00A6415F">
      <w:pPr>
        <w:pStyle w:val="Sinespaciado"/>
        <w:rPr>
          <w:sz w:val="16"/>
          <w:szCs w:val="16"/>
        </w:rPr>
      </w:pPr>
      <w:r w:rsidRPr="00631906">
        <w:rPr>
          <w:sz w:val="16"/>
          <w:szCs w:val="16"/>
        </w:rPr>
        <w:t>Proyecto: Elizabeth Ramírez Lozano – Profesional Contratista Oficina de Sistemas DADEP</w:t>
      </w:r>
    </w:p>
    <w:p w14:paraId="4527C1D2" w14:textId="19AC7E55" w:rsidR="00A6415F" w:rsidRPr="00631906" w:rsidRDefault="00A6415F" w:rsidP="00A6415F">
      <w:pPr>
        <w:pStyle w:val="Sinespaciado"/>
        <w:rPr>
          <w:sz w:val="16"/>
          <w:szCs w:val="16"/>
        </w:rPr>
      </w:pPr>
      <w:r w:rsidRPr="00631906">
        <w:rPr>
          <w:sz w:val="16"/>
          <w:szCs w:val="16"/>
        </w:rPr>
        <w:t xml:space="preserve">Reviso y Aprobó: </w:t>
      </w:r>
      <w:r>
        <w:rPr>
          <w:sz w:val="16"/>
          <w:szCs w:val="16"/>
        </w:rPr>
        <w:t>Claudia Liliana Paipa Amaya</w:t>
      </w:r>
      <w:r w:rsidRPr="00631906">
        <w:rPr>
          <w:sz w:val="16"/>
          <w:szCs w:val="16"/>
        </w:rPr>
        <w:t xml:space="preserve"> – Jefe Oficina de Sistemas DADEP</w:t>
      </w:r>
    </w:p>
    <w:p w14:paraId="400399F5" w14:textId="0B0B92F9" w:rsidR="00A02154" w:rsidRDefault="00A02154" w:rsidP="00A6415F">
      <w:pPr>
        <w:spacing w:after="0" w:line="240" w:lineRule="auto"/>
        <w:jc w:val="both"/>
        <w:rPr>
          <w:rFonts w:ascii="Trebuchet MS" w:eastAsia="Times New Roman" w:hAnsi="Trebuchet MS" w:cs="Times New Roman"/>
          <w:b/>
          <w:lang w:eastAsia="es-ES"/>
        </w:rPr>
      </w:pPr>
      <w:r>
        <w:rPr>
          <w:rFonts w:ascii="Trebuchet MS" w:eastAsia="Times New Roman" w:hAnsi="Trebuchet MS" w:cs="Times New Roman"/>
          <w:b/>
          <w:lang w:val="es-ES_tradnl" w:eastAsia="es-ES"/>
        </w:rPr>
        <w:tab/>
      </w:r>
    </w:p>
    <w:sectPr w:rsidR="00A02154" w:rsidSect="00674286">
      <w:headerReference w:type="even" r:id="rId28"/>
      <w:headerReference w:type="default" r:id="rId29"/>
      <w:footerReference w:type="even" r:id="rId30"/>
      <w:footerReference w:type="default" r:id="rId31"/>
      <w:headerReference w:type="first" r:id="rId32"/>
      <w:footerReference w:type="first" r:id="rId33"/>
      <w:pgSz w:w="12240" w:h="15840"/>
      <w:pgMar w:top="1671" w:right="1701" w:bottom="1417" w:left="1701"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330525" w14:textId="77777777" w:rsidR="00554F9B" w:rsidRDefault="00554F9B" w:rsidP="00E75F77">
      <w:pPr>
        <w:spacing w:after="0" w:line="240" w:lineRule="auto"/>
      </w:pPr>
      <w:r>
        <w:separator/>
      </w:r>
    </w:p>
  </w:endnote>
  <w:endnote w:type="continuationSeparator" w:id="0">
    <w:p w14:paraId="309CC063" w14:textId="77777777" w:rsidR="00554F9B" w:rsidRDefault="00554F9B" w:rsidP="00E75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eamViewer15">
    <w:charset w:val="00"/>
    <w:family w:val="decorative"/>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D3FA4" w14:textId="77777777" w:rsidR="00FB17B5" w:rsidRDefault="00FB17B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FCA69" w14:textId="77777777" w:rsidR="00FB17B5" w:rsidRDefault="00FB17B5" w:rsidP="00FB17B5">
    <w:pPr>
      <w:pStyle w:val="Piedepgina"/>
      <w:tabs>
        <w:tab w:val="center" w:pos="3088"/>
        <w:tab w:val="right" w:pos="6176"/>
      </w:tabs>
    </w:pPr>
    <w:r>
      <w:rPr>
        <w:noProof/>
        <w:lang w:eastAsia="es-CO"/>
      </w:rPr>
      <mc:AlternateContent>
        <mc:Choice Requires="wps">
          <w:drawing>
            <wp:anchor distT="45720" distB="45720" distL="114300" distR="114300" simplePos="0" relativeHeight="251665408" behindDoc="0" locked="0" layoutInCell="1" allowOverlap="1" wp14:anchorId="0DD052E0" wp14:editId="0C082050">
              <wp:simplePos x="0" y="0"/>
              <wp:positionH relativeFrom="column">
                <wp:posOffset>-284840</wp:posOffset>
              </wp:positionH>
              <wp:positionV relativeFrom="paragraph">
                <wp:posOffset>53460</wp:posOffset>
              </wp:positionV>
              <wp:extent cx="1990725" cy="1404620"/>
              <wp:effectExtent l="0" t="0" r="0" b="19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4620"/>
                      </a:xfrm>
                      <a:prstGeom prst="rect">
                        <a:avLst/>
                      </a:prstGeom>
                      <a:noFill/>
                      <a:ln w="9525">
                        <a:noFill/>
                        <a:miter lim="800000"/>
                        <a:headEnd/>
                        <a:tailEnd/>
                      </a:ln>
                    </wps:spPr>
                    <wps:txbx>
                      <w:txbxContent>
                        <w:p w14:paraId="5412D51A" w14:textId="77777777" w:rsidR="00FE0B61" w:rsidRPr="00FB17B5" w:rsidRDefault="00FE0B61" w:rsidP="00FE0B61">
                          <w:pPr>
                            <w:autoSpaceDE w:val="0"/>
                            <w:autoSpaceDN w:val="0"/>
                            <w:adjustRightInd w:val="0"/>
                            <w:spacing w:after="0" w:line="240" w:lineRule="auto"/>
                            <w:rPr>
                              <w:rFonts w:ascii="Calibri" w:hAnsi="Calibri" w:cs="Calibri"/>
                              <w:sz w:val="14"/>
                              <w:szCs w:val="14"/>
                            </w:rPr>
                          </w:pPr>
                          <w:r w:rsidRPr="00FB17B5">
                            <w:rPr>
                              <w:rFonts w:ascii="Calibri" w:hAnsi="Calibri" w:cs="Calibri"/>
                              <w:sz w:val="14"/>
                              <w:szCs w:val="14"/>
                            </w:rPr>
                            <w:t>Carrera 30 # 25 - 90 Piso 15</w:t>
                          </w:r>
                        </w:p>
                        <w:p w14:paraId="718629B9" w14:textId="77777777" w:rsidR="00FE0B61" w:rsidRPr="00FB17B5" w:rsidRDefault="00FE0B61" w:rsidP="00FE0B61">
                          <w:pPr>
                            <w:autoSpaceDE w:val="0"/>
                            <w:autoSpaceDN w:val="0"/>
                            <w:adjustRightInd w:val="0"/>
                            <w:spacing w:after="0" w:line="240" w:lineRule="auto"/>
                            <w:rPr>
                              <w:rFonts w:ascii="Calibri" w:hAnsi="Calibri" w:cs="Calibri"/>
                              <w:sz w:val="14"/>
                              <w:szCs w:val="14"/>
                            </w:rPr>
                          </w:pPr>
                          <w:r w:rsidRPr="00FB17B5">
                            <w:rPr>
                              <w:rFonts w:ascii="Calibri" w:hAnsi="Calibri" w:cs="Calibri"/>
                              <w:sz w:val="14"/>
                              <w:szCs w:val="14"/>
                            </w:rPr>
                            <w:t>Atención al usuario 3507062 | Línea gratuita 018000127700 | Línea 195</w:t>
                          </w:r>
                        </w:p>
                        <w:p w14:paraId="42FB91E5" w14:textId="77777777" w:rsidR="00FE0B61" w:rsidRPr="00FB17B5" w:rsidRDefault="00FE0B61" w:rsidP="00FE0B61">
                          <w:pPr>
                            <w:autoSpaceDE w:val="0"/>
                            <w:autoSpaceDN w:val="0"/>
                            <w:adjustRightInd w:val="0"/>
                            <w:spacing w:after="0" w:line="240" w:lineRule="auto"/>
                            <w:rPr>
                              <w:rFonts w:ascii="Calibri" w:hAnsi="Calibri" w:cs="Calibri"/>
                              <w:sz w:val="14"/>
                              <w:szCs w:val="14"/>
                            </w:rPr>
                          </w:pPr>
                          <w:r w:rsidRPr="00FB17B5">
                            <w:rPr>
                              <w:rFonts w:ascii="Calibri" w:hAnsi="Calibri" w:cs="Calibri"/>
                              <w:sz w:val="14"/>
                              <w:szCs w:val="14"/>
                            </w:rPr>
                            <w:t>www.dadep.gov.co</w:t>
                          </w:r>
                        </w:p>
                        <w:p w14:paraId="4818E96A" w14:textId="77777777" w:rsidR="00FE0B61" w:rsidRPr="00FB17B5" w:rsidRDefault="00FE0B61" w:rsidP="00FE0B61">
                          <w:pPr>
                            <w:autoSpaceDE w:val="0"/>
                            <w:autoSpaceDN w:val="0"/>
                            <w:adjustRightInd w:val="0"/>
                            <w:spacing w:after="0" w:line="240" w:lineRule="auto"/>
                            <w:rPr>
                              <w:rFonts w:ascii="Calibri" w:hAnsi="Calibri" w:cs="Calibri"/>
                              <w:sz w:val="14"/>
                              <w:szCs w:val="14"/>
                            </w:rPr>
                          </w:pPr>
                        </w:p>
                        <w:p w14:paraId="7EBF5E92" w14:textId="77777777" w:rsidR="007F2C26" w:rsidRPr="00FB17B5" w:rsidRDefault="00FE0B61" w:rsidP="00FE0B61">
                          <w:pPr>
                            <w:spacing w:after="0" w:line="216" w:lineRule="auto"/>
                            <w:rPr>
                              <w:szCs w:val="24"/>
                            </w:rPr>
                          </w:pPr>
                          <w:r w:rsidRPr="00FB17B5">
                            <w:rPr>
                              <w:rFonts w:ascii="Calibri" w:hAnsi="Calibri" w:cs="Calibri"/>
                              <w:sz w:val="14"/>
                              <w:szCs w:val="14"/>
                            </w:rPr>
                            <w:t>Código Postal: 111311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D052E0" id="_x0000_t202" coordsize="21600,21600" o:spt="202" path="m,l,21600r21600,l21600,xe">
              <v:stroke joinstyle="miter"/>
              <v:path gradientshapeok="t" o:connecttype="rect"/>
            </v:shapetype>
            <v:shape id="Cuadro de texto 2" o:spid="_x0000_s1026" type="#_x0000_t202" style="position:absolute;margin-left:-22.45pt;margin-top:4.2pt;width:156.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" filled="f" stroked="f">
              <v:textbox style="mso-fit-shape-to-text:t">
                <w:txbxContent>
                  <w:p w14:paraId="5412D51A" w14:textId="77777777" w:rsidR="00FE0B61" w:rsidRPr="00FB17B5" w:rsidRDefault="00FE0B61" w:rsidP="00FE0B61">
                    <w:pPr>
                      <w:autoSpaceDE w:val="0"/>
                      <w:autoSpaceDN w:val="0"/>
                      <w:adjustRightInd w:val="0"/>
                      <w:spacing w:after="0" w:line="240" w:lineRule="auto"/>
                      <w:rPr>
                        <w:rFonts w:ascii="Calibri" w:hAnsi="Calibri" w:cs="Calibri"/>
                        <w:sz w:val="14"/>
                        <w:szCs w:val="14"/>
                      </w:rPr>
                    </w:pPr>
                    <w:r w:rsidRPr="00FB17B5">
                      <w:rPr>
                        <w:rFonts w:ascii="Calibri" w:hAnsi="Calibri" w:cs="Calibri"/>
                        <w:sz w:val="14"/>
                        <w:szCs w:val="14"/>
                      </w:rPr>
                      <w:t>Carrera 30 # 25 - 90 Piso 15</w:t>
                    </w:r>
                  </w:p>
                  <w:p w14:paraId="718629B9" w14:textId="77777777" w:rsidR="00FE0B61" w:rsidRPr="00FB17B5" w:rsidRDefault="00FE0B61" w:rsidP="00FE0B61">
                    <w:pPr>
                      <w:autoSpaceDE w:val="0"/>
                      <w:autoSpaceDN w:val="0"/>
                      <w:adjustRightInd w:val="0"/>
                      <w:spacing w:after="0" w:line="240" w:lineRule="auto"/>
                      <w:rPr>
                        <w:rFonts w:ascii="Calibri" w:hAnsi="Calibri" w:cs="Calibri"/>
                        <w:sz w:val="14"/>
                        <w:szCs w:val="14"/>
                      </w:rPr>
                    </w:pPr>
                    <w:r w:rsidRPr="00FB17B5">
                      <w:rPr>
                        <w:rFonts w:ascii="Calibri" w:hAnsi="Calibri" w:cs="Calibri"/>
                        <w:sz w:val="14"/>
                        <w:szCs w:val="14"/>
                      </w:rPr>
                      <w:t>Atención al usuario 3507062 | Línea gratuita 018000127700 | Línea 195</w:t>
                    </w:r>
                  </w:p>
                  <w:p w14:paraId="42FB91E5" w14:textId="77777777" w:rsidR="00FE0B61" w:rsidRPr="00FB17B5" w:rsidRDefault="00FE0B61" w:rsidP="00FE0B61">
                    <w:pPr>
                      <w:autoSpaceDE w:val="0"/>
                      <w:autoSpaceDN w:val="0"/>
                      <w:adjustRightInd w:val="0"/>
                      <w:spacing w:after="0" w:line="240" w:lineRule="auto"/>
                      <w:rPr>
                        <w:rFonts w:ascii="Calibri" w:hAnsi="Calibri" w:cs="Calibri"/>
                        <w:sz w:val="14"/>
                        <w:szCs w:val="14"/>
                      </w:rPr>
                    </w:pPr>
                    <w:r w:rsidRPr="00FB17B5">
                      <w:rPr>
                        <w:rFonts w:ascii="Calibri" w:hAnsi="Calibri" w:cs="Calibri"/>
                        <w:sz w:val="14"/>
                        <w:szCs w:val="14"/>
                      </w:rPr>
                      <w:t>www.dadep.gov.co</w:t>
                    </w:r>
                  </w:p>
                  <w:p w14:paraId="4818E96A" w14:textId="77777777" w:rsidR="00FE0B61" w:rsidRPr="00FB17B5" w:rsidRDefault="00FE0B61" w:rsidP="00FE0B61">
                    <w:pPr>
                      <w:autoSpaceDE w:val="0"/>
                      <w:autoSpaceDN w:val="0"/>
                      <w:adjustRightInd w:val="0"/>
                      <w:spacing w:after="0" w:line="240" w:lineRule="auto"/>
                      <w:rPr>
                        <w:rFonts w:ascii="Calibri" w:hAnsi="Calibri" w:cs="Calibri"/>
                        <w:sz w:val="14"/>
                        <w:szCs w:val="14"/>
                      </w:rPr>
                    </w:pPr>
                  </w:p>
                  <w:p w14:paraId="7EBF5E92" w14:textId="77777777" w:rsidR="007F2C26" w:rsidRPr="00FB17B5" w:rsidRDefault="00FE0B61" w:rsidP="00FE0B61">
                    <w:pPr>
                      <w:spacing w:after="0" w:line="216" w:lineRule="auto"/>
                      <w:rPr>
                        <w:szCs w:val="24"/>
                      </w:rPr>
                    </w:pPr>
                    <w:r w:rsidRPr="00FB17B5">
                      <w:rPr>
                        <w:rFonts w:ascii="Calibri" w:hAnsi="Calibri" w:cs="Calibri"/>
                        <w:sz w:val="14"/>
                        <w:szCs w:val="14"/>
                      </w:rPr>
                      <w:t>Código Postal: 111311</w:t>
                    </w:r>
                  </w:p>
                </w:txbxContent>
              </v:textbox>
              <w10:wrap type="square"/>
            </v:shape>
          </w:pict>
        </mc:Fallback>
      </mc:AlternateContent>
    </w:r>
    <w:r>
      <w:rPr>
        <w:noProof/>
        <w:lang w:eastAsia="es-CO"/>
      </w:rPr>
      <w:drawing>
        <wp:anchor distT="0" distB="0" distL="114300" distR="114300" simplePos="0" relativeHeight="251666432" behindDoc="0" locked="0" layoutInCell="1" allowOverlap="1" wp14:anchorId="2ECC54BC" wp14:editId="6FDB888F">
          <wp:simplePos x="0" y="0"/>
          <wp:positionH relativeFrom="column">
            <wp:posOffset>5259705</wp:posOffset>
          </wp:positionH>
          <wp:positionV relativeFrom="paragraph">
            <wp:posOffset>20584</wp:posOffset>
          </wp:positionV>
          <wp:extent cx="819785" cy="897255"/>
          <wp:effectExtent l="0" t="0" r="0" b="0"/>
          <wp:wrapThrough wrapText="bothSides">
            <wp:wrapPolygon edited="0">
              <wp:start x="0" y="0"/>
              <wp:lineTo x="0" y="21096"/>
              <wp:lineTo x="21081" y="21096"/>
              <wp:lineTo x="2108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785" cy="897255"/>
                  </a:xfrm>
                  <a:prstGeom prst="rect">
                    <a:avLst/>
                  </a:prstGeom>
                  <a:noFill/>
                  <a:ln>
                    <a:noFill/>
                  </a:ln>
                </pic:spPr>
              </pic:pic>
            </a:graphicData>
          </a:graphic>
        </wp:anchor>
      </w:drawing>
    </w:r>
  </w:p>
  <w:p w14:paraId="41C519C7" w14:textId="77777777" w:rsidR="00FB17B5" w:rsidRDefault="00FB17B5" w:rsidP="00FB17B5">
    <w:pPr>
      <w:pStyle w:val="Piedepgina"/>
      <w:tabs>
        <w:tab w:val="center" w:pos="3088"/>
        <w:tab w:val="right" w:pos="6176"/>
      </w:tabs>
    </w:pPr>
  </w:p>
  <w:p w14:paraId="417AB60B" w14:textId="77777777" w:rsidR="00FB17B5" w:rsidRDefault="00FB17B5" w:rsidP="00FB17B5">
    <w:pPr>
      <w:pStyle w:val="Piedepgina"/>
      <w:jc w:val="right"/>
    </w:pPr>
  </w:p>
  <w:p w14:paraId="1BA69A2B" w14:textId="77777777" w:rsidR="00E75F77" w:rsidRDefault="00E75F77" w:rsidP="00FB17B5">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0B54" w14:textId="77777777" w:rsidR="00FB17B5" w:rsidRDefault="00FB17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D0D68" w14:textId="77777777" w:rsidR="00554F9B" w:rsidRDefault="00554F9B" w:rsidP="00E75F77">
      <w:pPr>
        <w:spacing w:after="0" w:line="240" w:lineRule="auto"/>
      </w:pPr>
      <w:r>
        <w:separator/>
      </w:r>
    </w:p>
  </w:footnote>
  <w:footnote w:type="continuationSeparator" w:id="0">
    <w:p w14:paraId="2F6DE7F2" w14:textId="77777777" w:rsidR="00554F9B" w:rsidRDefault="00554F9B" w:rsidP="00E75F77">
      <w:pPr>
        <w:spacing w:after="0" w:line="240" w:lineRule="auto"/>
      </w:pPr>
      <w:r>
        <w:continuationSeparator/>
      </w:r>
    </w:p>
  </w:footnote>
  <w:footnote w:id="1">
    <w:p w14:paraId="6CDF6EA7" w14:textId="77777777" w:rsidR="00C800CE" w:rsidRDefault="00C800CE" w:rsidP="00C800CE">
      <w:pPr>
        <w:pStyle w:val="Textonotapie"/>
      </w:pPr>
      <w:r>
        <w:rPr>
          <w:rStyle w:val="Refdenotaalpie"/>
        </w:rPr>
        <w:footnoteRef/>
      </w:r>
      <w:r>
        <w:t xml:space="preserve"> </w:t>
      </w:r>
      <w:r>
        <w:rPr>
          <w:sz w:val="16"/>
          <w:szCs w:val="16"/>
        </w:rPr>
        <w:t xml:space="preserve">https://colombiatic.mintic.gov.co/679/articles-73994_recurso_1.pdf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E1E00" w14:textId="77777777" w:rsidR="00FB17B5" w:rsidRDefault="00FB17B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9A2B0" w14:textId="77777777" w:rsidR="000A3FED" w:rsidRDefault="000A3FED" w:rsidP="000A3FED">
    <w:pPr>
      <w:pStyle w:val="Encabezado"/>
      <w:jc w:val="center"/>
    </w:pPr>
  </w:p>
  <w:p w14:paraId="2D832B28" w14:textId="77777777" w:rsidR="000A3FED" w:rsidRDefault="000A3FED" w:rsidP="000A3FED">
    <w:pPr>
      <w:pStyle w:val="Encabezado"/>
      <w:jc w:val="center"/>
    </w:pPr>
  </w:p>
  <w:p w14:paraId="1C1B62B1" w14:textId="77777777" w:rsidR="00E75F77" w:rsidRPr="00810DB7" w:rsidRDefault="00AB7910" w:rsidP="000A3FED">
    <w:pPr>
      <w:pStyle w:val="Encabezado"/>
      <w:jc w:val="center"/>
    </w:pPr>
    <w:r>
      <w:rPr>
        <w:noProof/>
        <w:lang w:eastAsia="es-CO"/>
      </w:rPr>
      <w:drawing>
        <wp:inline distT="0" distB="0" distL="0" distR="0" wp14:anchorId="5C5010BA" wp14:editId="069E9BEC">
          <wp:extent cx="4028536" cy="626467"/>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5541" cy="67109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D3341" w14:textId="77777777" w:rsidR="00FB17B5" w:rsidRDefault="00FB17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27021"/>
    <w:multiLevelType w:val="hybridMultilevel"/>
    <w:tmpl w:val="B6F6AF1C"/>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082906"/>
    <w:multiLevelType w:val="hybridMultilevel"/>
    <w:tmpl w:val="1E7254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99030B3"/>
    <w:multiLevelType w:val="hybridMultilevel"/>
    <w:tmpl w:val="FE522F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9410FB"/>
    <w:multiLevelType w:val="hybridMultilevel"/>
    <w:tmpl w:val="3072FD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ED909D9"/>
    <w:multiLevelType w:val="hybridMultilevel"/>
    <w:tmpl w:val="DF74F8CC"/>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36E31B7"/>
    <w:multiLevelType w:val="hybridMultilevel"/>
    <w:tmpl w:val="EE96B6B2"/>
    <w:lvl w:ilvl="0" w:tplc="DFFA202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BE26B4E"/>
    <w:multiLevelType w:val="hybridMultilevel"/>
    <w:tmpl w:val="A4A01376"/>
    <w:lvl w:ilvl="0" w:tplc="DFFA202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9FC7267"/>
    <w:multiLevelType w:val="hybridMultilevel"/>
    <w:tmpl w:val="B6F6AF1C"/>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D1708CD"/>
    <w:multiLevelType w:val="hybridMultilevel"/>
    <w:tmpl w:val="93F48C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1843EFC"/>
    <w:multiLevelType w:val="hybridMultilevel"/>
    <w:tmpl w:val="1D4AF5CE"/>
    <w:lvl w:ilvl="0" w:tplc="DFFA202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9C02C11"/>
    <w:multiLevelType w:val="hybridMultilevel"/>
    <w:tmpl w:val="A7E6BDF6"/>
    <w:lvl w:ilvl="0" w:tplc="DFFA202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6FFC6748"/>
    <w:multiLevelType w:val="hybridMultilevel"/>
    <w:tmpl w:val="3544BE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B611F2"/>
    <w:multiLevelType w:val="hybridMultilevel"/>
    <w:tmpl w:val="C4A468B6"/>
    <w:lvl w:ilvl="0" w:tplc="DFFA202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2126A04"/>
    <w:multiLevelType w:val="hybridMultilevel"/>
    <w:tmpl w:val="C996FB2A"/>
    <w:lvl w:ilvl="0" w:tplc="DFFA202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F5A0240"/>
    <w:multiLevelType w:val="hybridMultilevel"/>
    <w:tmpl w:val="1AD6CA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14"/>
  </w:num>
  <w:num w:numId="3">
    <w:abstractNumId w:val="0"/>
  </w:num>
  <w:num w:numId="4">
    <w:abstractNumId w:val="6"/>
  </w:num>
  <w:num w:numId="5">
    <w:abstractNumId w:val="5"/>
  </w:num>
  <w:num w:numId="6">
    <w:abstractNumId w:val="9"/>
  </w:num>
  <w:num w:numId="7">
    <w:abstractNumId w:val="12"/>
  </w:num>
  <w:num w:numId="8">
    <w:abstractNumId w:val="13"/>
  </w:num>
  <w:num w:numId="9">
    <w:abstractNumId w:val="8"/>
  </w:num>
  <w:num w:numId="10">
    <w:abstractNumId w:val="10"/>
  </w:num>
  <w:num w:numId="11">
    <w:abstractNumId w:val="11"/>
  </w:num>
  <w:num w:numId="12">
    <w:abstractNumId w:val="3"/>
  </w:num>
  <w:num w:numId="13">
    <w:abstractNumId w:val="2"/>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F77"/>
    <w:rsid w:val="00013D77"/>
    <w:rsid w:val="000767CA"/>
    <w:rsid w:val="00087D11"/>
    <w:rsid w:val="000A3FED"/>
    <w:rsid w:val="000D24B3"/>
    <w:rsid w:val="0011010A"/>
    <w:rsid w:val="00142F3F"/>
    <w:rsid w:val="0014597F"/>
    <w:rsid w:val="00147BD3"/>
    <w:rsid w:val="001669BA"/>
    <w:rsid w:val="00176EDE"/>
    <w:rsid w:val="00194185"/>
    <w:rsid w:val="001D01E0"/>
    <w:rsid w:val="001F45AD"/>
    <w:rsid w:val="00204EC4"/>
    <w:rsid w:val="00211163"/>
    <w:rsid w:val="0025602C"/>
    <w:rsid w:val="00286BD3"/>
    <w:rsid w:val="002B1C50"/>
    <w:rsid w:val="003A1AB0"/>
    <w:rsid w:val="003B5CBE"/>
    <w:rsid w:val="003F73A5"/>
    <w:rsid w:val="004310B9"/>
    <w:rsid w:val="00465BC8"/>
    <w:rsid w:val="004858D4"/>
    <w:rsid w:val="00490497"/>
    <w:rsid w:val="004C7508"/>
    <w:rsid w:val="004E3E6E"/>
    <w:rsid w:val="004F508E"/>
    <w:rsid w:val="0050298B"/>
    <w:rsid w:val="00512CE4"/>
    <w:rsid w:val="00523C8A"/>
    <w:rsid w:val="00554F9B"/>
    <w:rsid w:val="00586CA1"/>
    <w:rsid w:val="005A0FA8"/>
    <w:rsid w:val="005B4115"/>
    <w:rsid w:val="005C7C2E"/>
    <w:rsid w:val="005E1B8F"/>
    <w:rsid w:val="005F2C6B"/>
    <w:rsid w:val="005F7598"/>
    <w:rsid w:val="00631DA7"/>
    <w:rsid w:val="00634B62"/>
    <w:rsid w:val="006477D8"/>
    <w:rsid w:val="00651170"/>
    <w:rsid w:val="006709A1"/>
    <w:rsid w:val="00674286"/>
    <w:rsid w:val="00685E7B"/>
    <w:rsid w:val="00690E05"/>
    <w:rsid w:val="006916F3"/>
    <w:rsid w:val="006C525C"/>
    <w:rsid w:val="006E2A96"/>
    <w:rsid w:val="006E42A9"/>
    <w:rsid w:val="00707A10"/>
    <w:rsid w:val="00734B5A"/>
    <w:rsid w:val="00754CBF"/>
    <w:rsid w:val="00764033"/>
    <w:rsid w:val="00772E0C"/>
    <w:rsid w:val="00781ECF"/>
    <w:rsid w:val="00797B3E"/>
    <w:rsid w:val="007C2D9F"/>
    <w:rsid w:val="007D734C"/>
    <w:rsid w:val="007F2C26"/>
    <w:rsid w:val="007F4B8F"/>
    <w:rsid w:val="00810DB7"/>
    <w:rsid w:val="00834429"/>
    <w:rsid w:val="00840275"/>
    <w:rsid w:val="008574A3"/>
    <w:rsid w:val="00863CCA"/>
    <w:rsid w:val="008A04AE"/>
    <w:rsid w:val="008D68FA"/>
    <w:rsid w:val="00960BD4"/>
    <w:rsid w:val="00972759"/>
    <w:rsid w:val="00973277"/>
    <w:rsid w:val="00981611"/>
    <w:rsid w:val="00981F98"/>
    <w:rsid w:val="00991C32"/>
    <w:rsid w:val="009B18EA"/>
    <w:rsid w:val="00A02154"/>
    <w:rsid w:val="00A320BE"/>
    <w:rsid w:val="00A43EEF"/>
    <w:rsid w:val="00A46525"/>
    <w:rsid w:val="00A53700"/>
    <w:rsid w:val="00A6415F"/>
    <w:rsid w:val="00A77B33"/>
    <w:rsid w:val="00A80886"/>
    <w:rsid w:val="00A85A45"/>
    <w:rsid w:val="00AA188D"/>
    <w:rsid w:val="00AB5FCE"/>
    <w:rsid w:val="00AB7910"/>
    <w:rsid w:val="00AD28BF"/>
    <w:rsid w:val="00AE0D7E"/>
    <w:rsid w:val="00AF5D4E"/>
    <w:rsid w:val="00B05434"/>
    <w:rsid w:val="00B6089F"/>
    <w:rsid w:val="00B63B14"/>
    <w:rsid w:val="00B86F33"/>
    <w:rsid w:val="00B94E2C"/>
    <w:rsid w:val="00BC289D"/>
    <w:rsid w:val="00C15B0D"/>
    <w:rsid w:val="00C253E0"/>
    <w:rsid w:val="00C27460"/>
    <w:rsid w:val="00C4429C"/>
    <w:rsid w:val="00C474B4"/>
    <w:rsid w:val="00C53E55"/>
    <w:rsid w:val="00C800CE"/>
    <w:rsid w:val="00C9430B"/>
    <w:rsid w:val="00CC6036"/>
    <w:rsid w:val="00CF7E1A"/>
    <w:rsid w:val="00D33252"/>
    <w:rsid w:val="00D33D49"/>
    <w:rsid w:val="00D40CC2"/>
    <w:rsid w:val="00D832BF"/>
    <w:rsid w:val="00D91F0B"/>
    <w:rsid w:val="00DA1C95"/>
    <w:rsid w:val="00DA7030"/>
    <w:rsid w:val="00DB1917"/>
    <w:rsid w:val="00E010DC"/>
    <w:rsid w:val="00E55D2D"/>
    <w:rsid w:val="00E75F77"/>
    <w:rsid w:val="00EB403F"/>
    <w:rsid w:val="00EB61AD"/>
    <w:rsid w:val="00EE0EAB"/>
    <w:rsid w:val="00F33AAB"/>
    <w:rsid w:val="00F37579"/>
    <w:rsid w:val="00F55362"/>
    <w:rsid w:val="00F607FC"/>
    <w:rsid w:val="00F83B84"/>
    <w:rsid w:val="00F94106"/>
    <w:rsid w:val="00FA15E2"/>
    <w:rsid w:val="00FB17B5"/>
    <w:rsid w:val="00FB7706"/>
    <w:rsid w:val="00FE0B61"/>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4E099"/>
  <w15:docId w15:val="{525B87BF-355E-40B0-B7D2-E0B057311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iPriority="0"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75F77"/>
  </w:style>
  <w:style w:type="paragraph" w:styleId="Ttulo1">
    <w:name w:val="heading 1"/>
    <w:basedOn w:val="Normal"/>
    <w:next w:val="Normal"/>
    <w:link w:val="Ttulo1Car"/>
    <w:uiPriority w:val="9"/>
    <w:qFormat/>
    <w:locked/>
    <w:rsid w:val="00A641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E75F77"/>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aliases w:val="encabezado Car"/>
    <w:basedOn w:val="Fuentedeprrafopredeter"/>
    <w:link w:val="Encabezado"/>
    <w:rsid w:val="00E75F77"/>
    <w:rPr>
      <w:rFonts w:ascii="Calibri" w:eastAsia="Calibri" w:hAnsi="Calibri" w:cs="Times New Roman"/>
    </w:rPr>
  </w:style>
  <w:style w:type="paragraph" w:styleId="Piedepgina">
    <w:name w:val="footer"/>
    <w:basedOn w:val="Normal"/>
    <w:link w:val="PiedepginaCar"/>
    <w:uiPriority w:val="99"/>
    <w:unhideWhenUsed/>
    <w:rsid w:val="00E75F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F77"/>
  </w:style>
  <w:style w:type="paragraph" w:styleId="Textodeglobo">
    <w:name w:val="Balloon Text"/>
    <w:basedOn w:val="Normal"/>
    <w:link w:val="TextodegloboCar"/>
    <w:uiPriority w:val="99"/>
    <w:semiHidden/>
    <w:unhideWhenUsed/>
    <w:locked/>
    <w:rsid w:val="00E75F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5F77"/>
    <w:rPr>
      <w:rFonts w:ascii="Tahoma" w:hAnsi="Tahoma" w:cs="Tahoma"/>
      <w:sz w:val="16"/>
      <w:szCs w:val="16"/>
    </w:rPr>
  </w:style>
  <w:style w:type="paragraph" w:styleId="Textonotaalfinal">
    <w:name w:val="endnote text"/>
    <w:basedOn w:val="Normal"/>
    <w:link w:val="TextonotaalfinalCar"/>
    <w:locked/>
    <w:rsid w:val="006E42A9"/>
    <w:pPr>
      <w:spacing w:after="0" w:line="240" w:lineRule="auto"/>
    </w:pPr>
    <w:rPr>
      <w:rFonts w:ascii="Arial" w:eastAsia="Times New Roman" w:hAnsi="Arial" w:cs="Times New Roman"/>
      <w:sz w:val="20"/>
      <w:szCs w:val="20"/>
      <w:lang w:eastAsia="es-ES"/>
    </w:rPr>
  </w:style>
  <w:style w:type="character" w:customStyle="1" w:styleId="TextonotaalfinalCar">
    <w:name w:val="Texto nota al final Car"/>
    <w:basedOn w:val="Fuentedeprrafopredeter"/>
    <w:link w:val="Textonotaalfinal"/>
    <w:rsid w:val="006E42A9"/>
    <w:rPr>
      <w:rFonts w:ascii="Arial" w:eastAsia="Times New Roman" w:hAnsi="Arial" w:cs="Times New Roman"/>
      <w:sz w:val="20"/>
      <w:szCs w:val="20"/>
      <w:lang w:eastAsia="es-ES"/>
    </w:rPr>
  </w:style>
  <w:style w:type="paragraph" w:customStyle="1" w:styleId="Textopredeterminado">
    <w:name w:val="Texto predeterminado"/>
    <w:basedOn w:val="Normal"/>
    <w:rsid w:val="006E42A9"/>
    <w:pPr>
      <w:spacing w:after="0" w:line="240" w:lineRule="auto"/>
    </w:pPr>
    <w:rPr>
      <w:rFonts w:ascii="Times New Roman" w:eastAsia="Times New Roman" w:hAnsi="Times New Roman" w:cs="Times New Roman"/>
      <w:sz w:val="24"/>
      <w:szCs w:val="20"/>
      <w:lang w:eastAsia="es-ES"/>
    </w:rPr>
  </w:style>
  <w:style w:type="paragraph" w:styleId="Textocomentario">
    <w:name w:val="annotation text"/>
    <w:basedOn w:val="Normal"/>
    <w:link w:val="TextocomentarioCar"/>
    <w:uiPriority w:val="99"/>
    <w:semiHidden/>
    <w:unhideWhenUsed/>
    <w:locked/>
    <w:rsid w:val="00972759"/>
    <w:pPr>
      <w:spacing w:after="160"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972759"/>
    <w:rPr>
      <w:rFonts w:ascii="Calibri" w:eastAsia="Calibri" w:hAnsi="Calibri" w:cs="Times New Roman"/>
      <w:sz w:val="20"/>
      <w:szCs w:val="20"/>
    </w:rPr>
  </w:style>
  <w:style w:type="character" w:styleId="Hipervnculo">
    <w:name w:val="Hyperlink"/>
    <w:basedOn w:val="Fuentedeprrafopredeter"/>
    <w:uiPriority w:val="99"/>
    <w:unhideWhenUsed/>
    <w:locked/>
    <w:rsid w:val="007F2C26"/>
    <w:rPr>
      <w:color w:val="0000FF" w:themeColor="hyperlink"/>
      <w:u w:val="single"/>
    </w:rPr>
  </w:style>
  <w:style w:type="character" w:customStyle="1" w:styleId="Mencinsinresolver1">
    <w:name w:val="Mención sin resolver1"/>
    <w:basedOn w:val="Fuentedeprrafopredeter"/>
    <w:uiPriority w:val="99"/>
    <w:semiHidden/>
    <w:unhideWhenUsed/>
    <w:rsid w:val="007F2C26"/>
    <w:rPr>
      <w:color w:val="808080"/>
      <w:shd w:val="clear" w:color="auto" w:fill="E6E6E6"/>
    </w:rPr>
  </w:style>
  <w:style w:type="paragraph" w:styleId="Sinespaciado">
    <w:name w:val="No Spacing"/>
    <w:uiPriority w:val="1"/>
    <w:qFormat/>
    <w:locked/>
    <w:rsid w:val="00CF7E1A"/>
    <w:pPr>
      <w:spacing w:after="0" w:line="240" w:lineRule="auto"/>
    </w:pPr>
    <w:rPr>
      <w:rFonts w:ascii="Calibri" w:eastAsia="Calibri" w:hAnsi="Calibri" w:cs="Times New Roman"/>
    </w:rPr>
  </w:style>
  <w:style w:type="paragraph" w:styleId="Prrafodelista">
    <w:name w:val="List Paragraph"/>
    <w:aliases w:val="HOJA,Bolita,List Paragraph,Párrafo de lista4,BOLADEF,Párrafo de lista3,Párrafo de lista21,BOLA,Nivel 1 OS,Colorful List Accent 1,Colorful List - Accent 11,Figura,viñetas,Con viñeta,VIÑETAS,Fotografía,VIÑETA,Párrafo de lista2,Bullet List"/>
    <w:basedOn w:val="Normal"/>
    <w:link w:val="PrrafodelistaCar"/>
    <w:uiPriority w:val="34"/>
    <w:qFormat/>
    <w:locked/>
    <w:rsid w:val="00772E0C"/>
    <w:pPr>
      <w:ind w:left="720"/>
      <w:contextualSpacing/>
    </w:pPr>
  </w:style>
  <w:style w:type="character" w:customStyle="1" w:styleId="Ttulo1Car">
    <w:name w:val="Título 1 Car"/>
    <w:basedOn w:val="Fuentedeprrafopredeter"/>
    <w:link w:val="Ttulo1"/>
    <w:uiPriority w:val="9"/>
    <w:rsid w:val="00A6415F"/>
    <w:rPr>
      <w:rFonts w:asciiTheme="majorHAnsi" w:eastAsiaTheme="majorEastAsia" w:hAnsiTheme="majorHAnsi" w:cstheme="majorBidi"/>
      <w:color w:val="365F91" w:themeColor="accent1" w:themeShade="BF"/>
      <w:sz w:val="32"/>
      <w:szCs w:val="32"/>
    </w:rPr>
  </w:style>
  <w:style w:type="table" w:styleId="Tablaconcuadrcula">
    <w:name w:val="Table Grid"/>
    <w:basedOn w:val="Tablanormal"/>
    <w:uiPriority w:val="39"/>
    <w:locked/>
    <w:rsid w:val="00A641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HOJA Car,Bolita Car,List Paragraph Car,Párrafo de lista4 Car,BOLADEF Car,Párrafo de lista3 Car,Párrafo de lista21 Car,BOLA Car,Nivel 1 OS Car,Colorful List Accent 1 Car,Colorful List - Accent 11 Car,Figura Car,viñetas Car,VIÑETA Car"/>
    <w:link w:val="Prrafodelista"/>
    <w:uiPriority w:val="34"/>
    <w:qFormat/>
    <w:locked/>
    <w:rsid w:val="00A6415F"/>
  </w:style>
  <w:style w:type="paragraph" w:styleId="Subttulo">
    <w:name w:val="Subtitle"/>
    <w:basedOn w:val="Normal"/>
    <w:next w:val="Normal"/>
    <w:link w:val="SubttuloCar"/>
    <w:qFormat/>
    <w:locked/>
    <w:rsid w:val="00A6415F"/>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A6415F"/>
    <w:rPr>
      <w:rFonts w:ascii="Cambria" w:eastAsia="Times New Roman" w:hAnsi="Cambria" w:cs="Times New Roman"/>
      <w:sz w:val="24"/>
      <w:szCs w:val="24"/>
      <w:lang w:val="es-ES" w:eastAsia="es-ES"/>
    </w:rPr>
  </w:style>
  <w:style w:type="character" w:styleId="Refdenotaalfinal">
    <w:name w:val="endnote reference"/>
    <w:basedOn w:val="Fuentedeprrafopredeter"/>
    <w:uiPriority w:val="99"/>
    <w:semiHidden/>
    <w:unhideWhenUsed/>
    <w:locked/>
    <w:rsid w:val="0014597F"/>
    <w:rPr>
      <w:vertAlign w:val="superscript"/>
    </w:rPr>
  </w:style>
  <w:style w:type="paragraph" w:styleId="Textonotapie">
    <w:name w:val="footnote text"/>
    <w:basedOn w:val="Normal"/>
    <w:link w:val="TextonotapieCar"/>
    <w:uiPriority w:val="99"/>
    <w:unhideWhenUsed/>
    <w:locked/>
    <w:rsid w:val="00A53700"/>
    <w:pPr>
      <w:spacing w:after="0" w:line="240" w:lineRule="auto"/>
    </w:pPr>
    <w:rPr>
      <w:sz w:val="20"/>
      <w:szCs w:val="20"/>
    </w:rPr>
  </w:style>
  <w:style w:type="character" w:customStyle="1" w:styleId="TextonotapieCar">
    <w:name w:val="Texto nota pie Car"/>
    <w:basedOn w:val="Fuentedeprrafopredeter"/>
    <w:link w:val="Textonotapie"/>
    <w:uiPriority w:val="99"/>
    <w:rsid w:val="00A53700"/>
    <w:rPr>
      <w:sz w:val="20"/>
      <w:szCs w:val="20"/>
    </w:rPr>
  </w:style>
  <w:style w:type="character" w:styleId="Refdenotaalpie">
    <w:name w:val="footnote reference"/>
    <w:basedOn w:val="Fuentedeprrafopredeter"/>
    <w:uiPriority w:val="99"/>
    <w:unhideWhenUsed/>
    <w:locked/>
    <w:rsid w:val="00A53700"/>
    <w:rPr>
      <w:vertAlign w:val="superscript"/>
    </w:rPr>
  </w:style>
  <w:style w:type="paragraph" w:customStyle="1" w:styleId="Default">
    <w:name w:val="Default"/>
    <w:link w:val="DefaultCar"/>
    <w:qFormat/>
    <w:rsid w:val="00A53700"/>
    <w:pPr>
      <w:autoSpaceDE w:val="0"/>
      <w:autoSpaceDN w:val="0"/>
      <w:adjustRightInd w:val="0"/>
      <w:spacing w:after="0" w:line="240" w:lineRule="auto"/>
    </w:pPr>
    <w:rPr>
      <w:rFonts w:ascii="Arial" w:hAnsi="Arial" w:cs="Arial"/>
      <w:color w:val="000000"/>
      <w:sz w:val="24"/>
      <w:szCs w:val="24"/>
    </w:rPr>
  </w:style>
  <w:style w:type="character" w:styleId="Mencinsinresolver">
    <w:name w:val="Unresolved Mention"/>
    <w:basedOn w:val="Fuentedeprrafopredeter"/>
    <w:uiPriority w:val="99"/>
    <w:semiHidden/>
    <w:unhideWhenUsed/>
    <w:rsid w:val="00960BD4"/>
    <w:rPr>
      <w:color w:val="605E5C"/>
      <w:shd w:val="clear" w:color="auto" w:fill="E1DFDD"/>
    </w:rPr>
  </w:style>
  <w:style w:type="paragraph" w:styleId="NormalWeb">
    <w:name w:val="Normal (Web)"/>
    <w:basedOn w:val="Normal"/>
    <w:uiPriority w:val="99"/>
    <w:unhideWhenUsed/>
    <w:locked/>
    <w:rsid w:val="00754CB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DefaultCar">
    <w:name w:val="Default Car"/>
    <w:link w:val="Default"/>
    <w:locked/>
    <w:rsid w:val="002B1C50"/>
    <w:rPr>
      <w:rFonts w:ascii="Arial" w:hAnsi="Arial" w:cs="Arial"/>
      <w:color w:val="000000"/>
      <w:sz w:val="24"/>
      <w:szCs w:val="24"/>
    </w:rPr>
  </w:style>
  <w:style w:type="character" w:customStyle="1" w:styleId="oc-span">
    <w:name w:val="oc-span"/>
    <w:basedOn w:val="Fuentedeprrafopredeter"/>
    <w:rsid w:val="002B1C50"/>
  </w:style>
  <w:style w:type="character" w:customStyle="1" w:styleId="easy-breadcrumbsegment-separator">
    <w:name w:val="easy-breadcrumb_segment-separator"/>
    <w:basedOn w:val="Fuentedeprrafopredeter"/>
    <w:rsid w:val="002B1C50"/>
  </w:style>
  <w:style w:type="character" w:customStyle="1" w:styleId="easy-breadcrumbsegment">
    <w:name w:val="easy-breadcrumb_segment"/>
    <w:basedOn w:val="Fuentedeprrafopredeter"/>
    <w:rsid w:val="002B1C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758434">
      <w:bodyDiv w:val="1"/>
      <w:marLeft w:val="0"/>
      <w:marRight w:val="0"/>
      <w:marTop w:val="0"/>
      <w:marBottom w:val="0"/>
      <w:divBdr>
        <w:top w:val="none" w:sz="0" w:space="0" w:color="auto"/>
        <w:left w:val="none" w:sz="0" w:space="0" w:color="auto"/>
        <w:bottom w:val="none" w:sz="0" w:space="0" w:color="auto"/>
        <w:right w:val="none" w:sz="0" w:space="0" w:color="auto"/>
      </w:divBdr>
    </w:div>
    <w:div w:id="340282924">
      <w:bodyDiv w:val="1"/>
      <w:marLeft w:val="0"/>
      <w:marRight w:val="0"/>
      <w:marTop w:val="0"/>
      <w:marBottom w:val="0"/>
      <w:divBdr>
        <w:top w:val="none" w:sz="0" w:space="0" w:color="auto"/>
        <w:left w:val="none" w:sz="0" w:space="0" w:color="auto"/>
        <w:bottom w:val="none" w:sz="0" w:space="0" w:color="auto"/>
        <w:right w:val="none" w:sz="0" w:space="0" w:color="auto"/>
      </w:divBdr>
    </w:div>
    <w:div w:id="550656897">
      <w:bodyDiv w:val="1"/>
      <w:marLeft w:val="0"/>
      <w:marRight w:val="0"/>
      <w:marTop w:val="0"/>
      <w:marBottom w:val="0"/>
      <w:divBdr>
        <w:top w:val="none" w:sz="0" w:space="0" w:color="auto"/>
        <w:left w:val="none" w:sz="0" w:space="0" w:color="auto"/>
        <w:bottom w:val="none" w:sz="0" w:space="0" w:color="auto"/>
        <w:right w:val="none" w:sz="0" w:space="0" w:color="auto"/>
      </w:divBdr>
    </w:div>
    <w:div w:id="721056192">
      <w:bodyDiv w:val="1"/>
      <w:marLeft w:val="0"/>
      <w:marRight w:val="0"/>
      <w:marTop w:val="0"/>
      <w:marBottom w:val="0"/>
      <w:divBdr>
        <w:top w:val="none" w:sz="0" w:space="0" w:color="auto"/>
        <w:left w:val="none" w:sz="0" w:space="0" w:color="auto"/>
        <w:bottom w:val="none" w:sz="0" w:space="0" w:color="auto"/>
        <w:right w:val="none" w:sz="0" w:space="0" w:color="auto"/>
      </w:divBdr>
    </w:div>
    <w:div w:id="777023280">
      <w:bodyDiv w:val="1"/>
      <w:marLeft w:val="0"/>
      <w:marRight w:val="0"/>
      <w:marTop w:val="0"/>
      <w:marBottom w:val="0"/>
      <w:divBdr>
        <w:top w:val="none" w:sz="0" w:space="0" w:color="auto"/>
        <w:left w:val="none" w:sz="0" w:space="0" w:color="auto"/>
        <w:bottom w:val="none" w:sz="0" w:space="0" w:color="auto"/>
        <w:right w:val="none" w:sz="0" w:space="0" w:color="auto"/>
      </w:divBdr>
    </w:div>
    <w:div w:id="794565815">
      <w:bodyDiv w:val="1"/>
      <w:marLeft w:val="0"/>
      <w:marRight w:val="0"/>
      <w:marTop w:val="0"/>
      <w:marBottom w:val="0"/>
      <w:divBdr>
        <w:top w:val="none" w:sz="0" w:space="0" w:color="auto"/>
        <w:left w:val="none" w:sz="0" w:space="0" w:color="auto"/>
        <w:bottom w:val="none" w:sz="0" w:space="0" w:color="auto"/>
        <w:right w:val="none" w:sz="0" w:space="0" w:color="auto"/>
      </w:divBdr>
    </w:div>
    <w:div w:id="861171180">
      <w:bodyDiv w:val="1"/>
      <w:marLeft w:val="0"/>
      <w:marRight w:val="0"/>
      <w:marTop w:val="0"/>
      <w:marBottom w:val="0"/>
      <w:divBdr>
        <w:top w:val="none" w:sz="0" w:space="0" w:color="auto"/>
        <w:left w:val="none" w:sz="0" w:space="0" w:color="auto"/>
        <w:bottom w:val="none" w:sz="0" w:space="0" w:color="auto"/>
        <w:right w:val="none" w:sz="0" w:space="0" w:color="auto"/>
      </w:divBdr>
    </w:div>
    <w:div w:id="889729785">
      <w:bodyDiv w:val="1"/>
      <w:marLeft w:val="0"/>
      <w:marRight w:val="0"/>
      <w:marTop w:val="0"/>
      <w:marBottom w:val="0"/>
      <w:divBdr>
        <w:top w:val="none" w:sz="0" w:space="0" w:color="auto"/>
        <w:left w:val="none" w:sz="0" w:space="0" w:color="auto"/>
        <w:bottom w:val="none" w:sz="0" w:space="0" w:color="auto"/>
        <w:right w:val="none" w:sz="0" w:space="0" w:color="auto"/>
      </w:divBdr>
    </w:div>
    <w:div w:id="1099368158">
      <w:bodyDiv w:val="1"/>
      <w:marLeft w:val="0"/>
      <w:marRight w:val="0"/>
      <w:marTop w:val="0"/>
      <w:marBottom w:val="0"/>
      <w:divBdr>
        <w:top w:val="none" w:sz="0" w:space="0" w:color="auto"/>
        <w:left w:val="none" w:sz="0" w:space="0" w:color="auto"/>
        <w:bottom w:val="none" w:sz="0" w:space="0" w:color="auto"/>
        <w:right w:val="none" w:sz="0" w:space="0" w:color="auto"/>
      </w:divBdr>
    </w:div>
    <w:div w:id="1201285031">
      <w:bodyDiv w:val="1"/>
      <w:marLeft w:val="0"/>
      <w:marRight w:val="0"/>
      <w:marTop w:val="0"/>
      <w:marBottom w:val="0"/>
      <w:divBdr>
        <w:top w:val="none" w:sz="0" w:space="0" w:color="auto"/>
        <w:left w:val="none" w:sz="0" w:space="0" w:color="auto"/>
        <w:bottom w:val="none" w:sz="0" w:space="0" w:color="auto"/>
        <w:right w:val="none" w:sz="0" w:space="0" w:color="auto"/>
      </w:divBdr>
    </w:div>
    <w:div w:id="1272323517">
      <w:bodyDiv w:val="1"/>
      <w:marLeft w:val="0"/>
      <w:marRight w:val="0"/>
      <w:marTop w:val="0"/>
      <w:marBottom w:val="0"/>
      <w:divBdr>
        <w:top w:val="none" w:sz="0" w:space="0" w:color="auto"/>
        <w:left w:val="none" w:sz="0" w:space="0" w:color="auto"/>
        <w:bottom w:val="none" w:sz="0" w:space="0" w:color="auto"/>
        <w:right w:val="none" w:sz="0" w:space="0" w:color="auto"/>
      </w:divBdr>
    </w:div>
    <w:div w:id="1683555312">
      <w:bodyDiv w:val="1"/>
      <w:marLeft w:val="0"/>
      <w:marRight w:val="0"/>
      <w:marTop w:val="0"/>
      <w:marBottom w:val="0"/>
      <w:divBdr>
        <w:top w:val="none" w:sz="0" w:space="0" w:color="auto"/>
        <w:left w:val="none" w:sz="0" w:space="0" w:color="auto"/>
        <w:bottom w:val="none" w:sz="0" w:space="0" w:color="auto"/>
        <w:right w:val="none" w:sz="0" w:space="0" w:color="auto"/>
      </w:divBdr>
    </w:div>
    <w:div w:id="199734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hyperlink" Target="https://www.colombiacompra.gov.co/TIENDA-VIRTUAL-DEL-ESTADO-COLOMBIANO" TargetMode="External"/><Relationship Id="rId3" Type="http://schemas.openxmlformats.org/officeDocument/2006/relationships/styles" Target="styles.xml"/><Relationship Id="rId21" Type="http://schemas.openxmlformats.org/officeDocument/2006/relationships/hyperlink" Target="https://www.colombiacompra.gov.co/"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hrome.google.com/webstore/detail/google-docs-offline/ghbmnnjooekpmoecnnnilnnbdlolhkhi" TargetMode="External"/><Relationship Id="rId25" Type="http://schemas.openxmlformats.org/officeDocument/2006/relationships/hyperlink" Target="https://www.colombiacompra.gov.co/"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olombiacompra.gov.co/TIENDA-VIRTUAL-DEL-ESTADO-COLOMBIANO"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colombiacompra.gov.co/"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colombiacompra.gov.co/TIENDA-VIRTUAL-DEL-ESTADO-COLOMBIANO" TargetMode="External"/><Relationship Id="rId27" Type="http://schemas.openxmlformats.org/officeDocument/2006/relationships/hyperlink" Target="https://www.colombiaco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99A41-BC42-4F7F-B1C9-0FCA0A80A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16</Pages>
  <Words>4237</Words>
  <Characters>23307</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Mariluz Casas Acuna</dc:creator>
  <cp:lastModifiedBy>MATEO FORERO</cp:lastModifiedBy>
  <cp:revision>5</cp:revision>
  <cp:lastPrinted>2020-01-08T18:42:00Z</cp:lastPrinted>
  <dcterms:created xsi:type="dcterms:W3CDTF">2020-10-21T20:01:00Z</dcterms:created>
  <dcterms:modified xsi:type="dcterms:W3CDTF">2020-11-06T01:54:00Z</dcterms:modified>
</cp:coreProperties>
</file>