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XSpec="right" w:tblpY="1"/>
        <w:tblOverlap w:val="never"/>
        <w:tblW w:w="9087" w:type="dxa"/>
        <w:tblBorders>
          <w:top w:val="single" w:sz="2" w:space="0" w:color="AEAAAA"/>
          <w:left w:val="single" w:sz="2" w:space="0" w:color="AEAAAA"/>
          <w:bottom w:val="single" w:sz="2" w:space="0" w:color="AEAAAA"/>
          <w:right w:val="single" w:sz="2" w:space="0" w:color="AEAAAA"/>
          <w:insideH w:val="single" w:sz="2" w:space="0" w:color="AEAAAA"/>
          <w:insideV w:val="single" w:sz="2" w:space="0" w:color="AEAAA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8"/>
        <w:gridCol w:w="6949"/>
      </w:tblGrid>
      <w:tr w:rsidR="006A4C5D" w:rsidRPr="00FE097E" w14:paraId="61455684" w14:textId="77777777" w:rsidTr="00CD58C3">
        <w:trPr>
          <w:trHeight w:val="721"/>
        </w:trPr>
        <w:tc>
          <w:tcPr>
            <w:tcW w:w="2138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29D24" w14:textId="77777777" w:rsidR="006A4C5D" w:rsidRPr="003576C9" w:rsidRDefault="006A4C5D" w:rsidP="004A072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bookmarkStart w:id="0" w:name="_GoBack" w:colFirst="0" w:colLast="0"/>
            <w:r w:rsidRPr="003576C9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s-CO" w:eastAsia="es-CO"/>
              </w:rPr>
              <w:t>Nombre del alimento</w:t>
            </w:r>
          </w:p>
        </w:tc>
        <w:tc>
          <w:tcPr>
            <w:tcW w:w="6949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32167" w14:textId="77777777" w:rsidR="006A4C5D" w:rsidRPr="003576C9" w:rsidRDefault="002C402D" w:rsidP="004A0720">
            <w:pPr>
              <w:ind w:right="71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s-CO" w:eastAsia="es-CO"/>
              </w:rPr>
            </w:pPr>
            <w:r w:rsidRPr="002C402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s-CO" w:eastAsia="es-CO"/>
              </w:rPr>
              <w:t>Yogurt entero con dulce, con adición de frutas naturales o mermeladas o concentrados de frutas de diferentes sabores.</w:t>
            </w:r>
          </w:p>
        </w:tc>
      </w:tr>
      <w:tr w:rsidR="006A4C5D" w:rsidRPr="00FE097E" w14:paraId="244795B0" w14:textId="77777777" w:rsidTr="004A0720">
        <w:trPr>
          <w:trHeight w:val="721"/>
        </w:trPr>
        <w:tc>
          <w:tcPr>
            <w:tcW w:w="21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4E796" w14:textId="77777777" w:rsidR="006A4C5D" w:rsidRPr="00FE097E" w:rsidRDefault="006A4C5D" w:rsidP="004A0720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Calidad</w:t>
            </w:r>
          </w:p>
        </w:tc>
        <w:tc>
          <w:tcPr>
            <w:tcW w:w="69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0532F9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El producto debe cumplir la siguiente normatividad: </w:t>
            </w:r>
          </w:p>
          <w:p w14:paraId="278126E4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p w14:paraId="20BDC7A8" w14:textId="77777777" w:rsidR="006A4C5D" w:rsidRPr="00FE097E" w:rsidRDefault="006A4C5D" w:rsidP="006A4C5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Resolución 2674 de 2013 expedida por el Ministerio de Salud y Protección Social.</w:t>
            </w:r>
          </w:p>
          <w:p w14:paraId="2BA12ECE" w14:textId="77777777" w:rsidR="006A4C5D" w:rsidRPr="00FE097E" w:rsidRDefault="006A4C5D" w:rsidP="006A4C5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Resolución 2310 de 1986 </w:t>
            </w:r>
            <w:r w:rsidRPr="00170B66">
              <w:rPr>
                <w:rFonts w:ascii="Arial" w:hAnsi="Arial" w:cs="Arial"/>
                <w:color w:val="525252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525252"/>
                <w:sz w:val="20"/>
                <w:szCs w:val="20"/>
              </w:rPr>
              <w:t>.</w:t>
            </w:r>
          </w:p>
          <w:p w14:paraId="618D6635" w14:textId="77777777" w:rsidR="006A4C5D" w:rsidRPr="00FE097E" w:rsidRDefault="006A4C5D" w:rsidP="006A4C5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  <w:lang w:val="es-CO" w:eastAsia="es-CO"/>
              </w:rPr>
              <w:t xml:space="preserve">Resolución 11961 de 1989 </w:t>
            </w:r>
            <w:r w:rsidRPr="00170B66">
              <w:rPr>
                <w:rFonts w:ascii="Arial" w:hAnsi="Arial" w:cs="Arial"/>
                <w:color w:val="525252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525252"/>
                <w:sz w:val="20"/>
                <w:szCs w:val="20"/>
              </w:rPr>
              <w:t>.</w:t>
            </w:r>
          </w:p>
          <w:p w14:paraId="0896E323" w14:textId="77777777" w:rsidR="006A4C5D" w:rsidRPr="00FE097E" w:rsidRDefault="006A4C5D" w:rsidP="006A4C5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Resolución 5109 de 2005 </w:t>
            </w:r>
            <w:r w:rsidRPr="00170B66">
              <w:rPr>
                <w:rFonts w:ascii="Arial" w:hAnsi="Arial" w:cs="Arial"/>
                <w:color w:val="525252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525252"/>
                <w:sz w:val="20"/>
                <w:szCs w:val="20"/>
              </w:rPr>
              <w:t>.</w:t>
            </w:r>
          </w:p>
          <w:p w14:paraId="1F946E10" w14:textId="77777777" w:rsidR="006A4C5D" w:rsidRPr="00FE097E" w:rsidRDefault="006A4C5D" w:rsidP="006A4C5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Resolución 333 de 2011 </w:t>
            </w:r>
            <w:r w:rsidRPr="00170B66">
              <w:rPr>
                <w:rFonts w:ascii="Arial" w:hAnsi="Arial" w:cs="Arial"/>
                <w:color w:val="525252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525252"/>
                <w:sz w:val="20"/>
                <w:szCs w:val="20"/>
              </w:rPr>
              <w:t>.</w:t>
            </w:r>
          </w:p>
          <w:p w14:paraId="1C4F2612" w14:textId="77777777" w:rsidR="006A4C5D" w:rsidRPr="00FE097E" w:rsidRDefault="006A4C5D" w:rsidP="006A4C5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Resolución 683 de 2012 </w:t>
            </w:r>
            <w:r w:rsidRPr="00170B66">
              <w:rPr>
                <w:rFonts w:ascii="Arial" w:hAnsi="Arial" w:cs="Arial"/>
                <w:color w:val="525252"/>
                <w:sz w:val="20"/>
                <w:szCs w:val="20"/>
              </w:rPr>
              <w:t>expedida por el Ministerio de Salud y Protección Social</w:t>
            </w:r>
            <w:r>
              <w:rPr>
                <w:rFonts w:ascii="Arial" w:hAnsi="Arial" w:cs="Arial"/>
                <w:color w:val="525252"/>
                <w:sz w:val="20"/>
                <w:szCs w:val="20"/>
              </w:rPr>
              <w:t>.</w:t>
            </w:r>
          </w:p>
          <w:p w14:paraId="2374343E" w14:textId="77777777" w:rsidR="006A4C5D" w:rsidRPr="00FE097E" w:rsidRDefault="006A4C5D" w:rsidP="004A0720">
            <w:pPr>
              <w:ind w:left="720"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p w14:paraId="3C04EEBD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6A4C5D" w:rsidRPr="00FE097E" w14:paraId="3E0DD56D" w14:textId="77777777" w:rsidTr="004A0720">
        <w:trPr>
          <w:trHeight w:val="869"/>
        </w:trPr>
        <w:tc>
          <w:tcPr>
            <w:tcW w:w="21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65049" w14:textId="77777777" w:rsidR="006A4C5D" w:rsidRPr="00FE097E" w:rsidRDefault="006A4C5D" w:rsidP="004A0720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 xml:space="preserve">Generalidades </w:t>
            </w:r>
          </w:p>
        </w:tc>
        <w:tc>
          <w:tcPr>
            <w:tcW w:w="69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2E812" w14:textId="77777777" w:rsidR="006A4C5D" w:rsidRPr="00FE097E" w:rsidRDefault="006A4C5D" w:rsidP="004A0720">
            <w:pPr>
              <w:jc w:val="both"/>
              <w:rPr>
                <w:rFonts w:ascii="Arial" w:hAnsi="Arial" w:cs="Arial"/>
                <w:color w:val="525252"/>
                <w:sz w:val="20"/>
                <w:szCs w:val="20"/>
                <w:lang w:eastAsia="es-CO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Producto obtenido a partir de la leche entera pasteurizada, que ha sido sometido a un proceso de fermentación por la acción del </w:t>
            </w:r>
            <w:proofErr w:type="spellStart"/>
            <w:r w:rsidRPr="00FE097E">
              <w:rPr>
                <w:rFonts w:ascii="Arial" w:hAnsi="Arial" w:cs="Arial"/>
                <w:i/>
                <w:color w:val="525252"/>
                <w:sz w:val="20"/>
                <w:szCs w:val="20"/>
              </w:rPr>
              <w:t>Streptococcus</w:t>
            </w:r>
            <w:proofErr w:type="spellEnd"/>
            <w:r w:rsidRPr="00FE097E">
              <w:rPr>
                <w:rFonts w:ascii="Arial" w:hAnsi="Arial" w:cs="Arial"/>
                <w:i/>
                <w:color w:val="525252"/>
                <w:sz w:val="20"/>
                <w:szCs w:val="20"/>
              </w:rPr>
              <w:t xml:space="preserve"> </w:t>
            </w:r>
            <w:proofErr w:type="spellStart"/>
            <w:r w:rsidRPr="00FE097E">
              <w:rPr>
                <w:rFonts w:ascii="Arial" w:hAnsi="Arial" w:cs="Arial"/>
                <w:i/>
                <w:color w:val="525252"/>
                <w:sz w:val="20"/>
                <w:szCs w:val="20"/>
              </w:rPr>
              <w:t>thermophilus</w:t>
            </w:r>
            <w:proofErr w:type="spellEnd"/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, </w:t>
            </w:r>
            <w:r w:rsidRPr="00FE097E">
              <w:rPr>
                <w:rFonts w:ascii="Arial" w:hAnsi="Arial" w:cs="Arial"/>
                <w:i/>
                <w:color w:val="525252"/>
                <w:sz w:val="20"/>
                <w:szCs w:val="20"/>
              </w:rPr>
              <w:t xml:space="preserve">Lactobacillus </w:t>
            </w:r>
            <w:proofErr w:type="spellStart"/>
            <w:r w:rsidRPr="00FE097E">
              <w:rPr>
                <w:rFonts w:ascii="Arial" w:hAnsi="Arial" w:cs="Arial"/>
                <w:i/>
                <w:color w:val="525252"/>
                <w:sz w:val="20"/>
                <w:szCs w:val="20"/>
              </w:rPr>
              <w:t>bulgaricus</w:t>
            </w:r>
            <w:proofErr w:type="spellEnd"/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, entre otras, las cuales deben ser abundantes y viables en el producto final, este debe tener sabor, olor, color característico y mantener sus propiedades reológicas, debe ser homogéneo y fresco.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  <w:lang w:val="es-CO" w:eastAsia="es-CO"/>
              </w:rPr>
              <w:t xml:space="preserve"> </w:t>
            </w:r>
          </w:p>
        </w:tc>
      </w:tr>
      <w:tr w:rsidR="006A4C5D" w:rsidRPr="00FE097E" w14:paraId="570137E1" w14:textId="77777777" w:rsidTr="004A0720">
        <w:trPr>
          <w:trHeight w:val="883"/>
        </w:trPr>
        <w:tc>
          <w:tcPr>
            <w:tcW w:w="21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19D1A" w14:textId="77777777" w:rsidR="006A4C5D" w:rsidRPr="00FE097E" w:rsidRDefault="006A4C5D" w:rsidP="004A0720">
            <w:pPr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Requisitos generales</w:t>
            </w:r>
          </w:p>
        </w:tc>
        <w:tc>
          <w:tcPr>
            <w:tcW w:w="69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4B481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  <w:t>Producto con consistencia semilíquida, viscosa y cremosa.</w:t>
            </w:r>
          </w:p>
          <w:p w14:paraId="207D8C56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</w:p>
          <w:p w14:paraId="0B7D800F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  <w:t>Cuando se le adicione mermelada de frutas o concentrados de frutas, la cantidad añadida debe ser tal que el contenido neto del producto final sea mínimo del 3%.</w:t>
            </w:r>
          </w:p>
          <w:p w14:paraId="68A6777E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</w:p>
          <w:p w14:paraId="554317E1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  <w:lang w:val="es-CO"/>
              </w:rPr>
              <w:t>Nota: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  <w:t xml:space="preserve"> la interventoría verificara la adición de mermelada de frutas o concentrados de frutas o fruta en el porcentaje establecido.</w:t>
            </w:r>
          </w:p>
          <w:p w14:paraId="09F7FD4A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</w:p>
          <w:p w14:paraId="09BCBE9A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  <w:t>Cuando se le adicione fruta fresca o deshidratada que requiera reforzar el sabor se permite hacerlo con esencias artificiales en la cantidad mínima para lograr el efecto deseado.</w:t>
            </w:r>
          </w:p>
          <w:p w14:paraId="28E8CEB2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</w:p>
          <w:p w14:paraId="064E57B6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  <w:t>La bebida deberá ser homogénea, fresca para el consumo diario, con color, olor y sabor característico, endulzado con azúcar, sin sustancias tales como conservantes, sustancias tóxicas y residuos de drogas o medicamentos.</w:t>
            </w:r>
          </w:p>
          <w:p w14:paraId="06879AD1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</w:p>
          <w:p w14:paraId="1B4AF229" w14:textId="77777777" w:rsidR="006A4C5D" w:rsidRPr="00FE097E" w:rsidRDefault="006A4C5D" w:rsidP="004A07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 w:eastAsia="es-CO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  <w:lang w:val="es-CO" w:eastAsia="es-CO"/>
              </w:rPr>
              <w:t>Debe estar exenta de grasas de origen vegetal o animal diferentes de la láctea, excepto las que provengan de los ingredientes utilizados.</w:t>
            </w:r>
          </w:p>
          <w:p w14:paraId="2538C525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</w:p>
          <w:p w14:paraId="0DEFE367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  <w:lang w:val="es-CO"/>
              </w:rPr>
              <w:t>El producto no puede ser reempacado o reembolsado.</w:t>
            </w:r>
          </w:p>
          <w:p w14:paraId="46F39A6B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</w:p>
          <w:p w14:paraId="0A77D6F6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</w:rPr>
              <w:t>Condiciones de conservación, almacenamiento y transporte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: </w:t>
            </w:r>
          </w:p>
          <w:p w14:paraId="327E57E9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p w14:paraId="33FF567E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  <w:u w:val="single"/>
              </w:rPr>
              <w:lastRenderedPageBreak/>
              <w:t>Conservación</w:t>
            </w: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</w:rPr>
              <w:t>: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 El producto debe conservarse a temperatura de refrigeración no mayor a 6ºC, según lo establecido en los Artículos 119 y 120 de la Resolución 2310 de 1986 y las demás normas que la modifiquen o sustituyan.  Después de abierto debe consumirse en el menor tiempo.</w:t>
            </w:r>
          </w:p>
          <w:p w14:paraId="65A5F93C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p w14:paraId="2B576E5B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  <w:u w:val="single"/>
              </w:rPr>
              <w:t>Almacenamiento</w:t>
            </w: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</w:rPr>
              <w:t>: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 Este producto debe mantenerse en canastillas estibadas, a temperatura de refrigeración no mayor a 6ºC.  Los cuartos de almacenamiento deben permanecer en buenas condiciones higiénico-sanitarias, y disponer de controles de temperatura. Todo lo anterior según lo establecido en los Artículos 119 y 120 de la Resolución 2310 de 1986 </w:t>
            </w:r>
            <w:r w:rsidRPr="003576C9">
              <w:rPr>
                <w:rFonts w:ascii="Arial" w:hAnsi="Arial" w:cs="Arial"/>
                <w:color w:val="525252"/>
                <w:sz w:val="20"/>
                <w:szCs w:val="20"/>
              </w:rPr>
              <w:t>expedida por el Ministerio de Salud y Protección Social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543160B0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p w14:paraId="055732A8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  <w:u w:val="single"/>
              </w:rPr>
              <w:t>Transporte: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 El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  </w:t>
            </w:r>
            <w:r w:rsidRPr="003576C9">
              <w:rPr>
                <w:rFonts w:ascii="Arial" w:hAnsi="Arial" w:cs="Arial"/>
                <w:color w:val="525252"/>
                <w:sz w:val="20"/>
                <w:szCs w:val="20"/>
              </w:rPr>
              <w:t xml:space="preserve">expedida por el Ministerio de Salud y Protección Social 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7D3F0E06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p w14:paraId="770A08D1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Debe garantizarse la cadena de frio desde la producción, recibo del proveedor logístico y posterior en entrega en el Colegio.</w:t>
            </w:r>
          </w:p>
        </w:tc>
      </w:tr>
      <w:tr w:rsidR="006A4C5D" w:rsidRPr="00FE097E" w14:paraId="2ED651AD" w14:textId="77777777" w:rsidTr="004A0720">
        <w:trPr>
          <w:trHeight w:val="272"/>
        </w:trPr>
        <w:tc>
          <w:tcPr>
            <w:tcW w:w="21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C9999D" w14:textId="77777777" w:rsidR="006A4C5D" w:rsidRPr="00FE097E" w:rsidRDefault="006A4C5D" w:rsidP="004A0720">
            <w:pPr>
              <w:jc w:val="both"/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lastRenderedPageBreak/>
              <w:t>Requisitos Específicos</w:t>
            </w:r>
          </w:p>
        </w:tc>
        <w:tc>
          <w:tcPr>
            <w:tcW w:w="69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704F0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El producto debe cumplir con las siguientes características:</w:t>
            </w:r>
          </w:p>
          <w:p w14:paraId="7F252A0C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</w:p>
          <w:p w14:paraId="4FCB1DC6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Resolución 2310 de 1986 </w:t>
            </w:r>
            <w:r w:rsidRPr="003576C9">
              <w:rPr>
                <w:rFonts w:ascii="Arial" w:hAnsi="Arial" w:cs="Arial"/>
                <w:color w:val="525252"/>
                <w:sz w:val="20"/>
                <w:szCs w:val="20"/>
              </w:rPr>
              <w:t>expedida por el Ministerio de Salud y Protección Social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. </w:t>
            </w:r>
          </w:p>
          <w:p w14:paraId="3E4201E2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</w:p>
          <w:p w14:paraId="054F037C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</w:rPr>
              <w:t>Características fisicoquímicas:</w:t>
            </w:r>
          </w:p>
          <w:p w14:paraId="4345715B" w14:textId="77777777" w:rsidR="006A4C5D" w:rsidRPr="00FE097E" w:rsidRDefault="006A4C5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</w:p>
          <w:tbl>
            <w:tblPr>
              <w:tblW w:w="67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7"/>
              <w:gridCol w:w="1842"/>
            </w:tblGrid>
            <w:tr w:rsidR="006A4C5D" w:rsidRPr="00FE097E" w14:paraId="6D8D5979" w14:textId="77777777" w:rsidTr="004A0720">
              <w:trPr>
                <w:trHeight w:val="342"/>
              </w:trPr>
              <w:tc>
                <w:tcPr>
                  <w:tcW w:w="4957" w:type="dxa"/>
                  <w:shd w:val="clear" w:color="auto" w:fill="BFBFBF"/>
                  <w:vAlign w:val="center"/>
                </w:tcPr>
                <w:p w14:paraId="5A1A8A92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b/>
                      <w:color w:val="525252"/>
                      <w:sz w:val="20"/>
                      <w:szCs w:val="20"/>
                    </w:rPr>
                    <w:t>PARAMETRO (Unidades)</w:t>
                  </w:r>
                </w:p>
              </w:tc>
              <w:tc>
                <w:tcPr>
                  <w:tcW w:w="1842" w:type="dxa"/>
                  <w:shd w:val="clear" w:color="auto" w:fill="BFBFBF"/>
                  <w:vAlign w:val="center"/>
                </w:tcPr>
                <w:p w14:paraId="4742ED10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b/>
                      <w:color w:val="525252"/>
                      <w:sz w:val="20"/>
                      <w:szCs w:val="20"/>
                    </w:rPr>
                    <w:t xml:space="preserve">VALOR REFERENCIA </w:t>
                  </w:r>
                </w:p>
              </w:tc>
            </w:tr>
            <w:tr w:rsidR="006A4C5D" w:rsidRPr="00FE097E" w14:paraId="7121C0F6" w14:textId="77777777" w:rsidTr="004A0720">
              <w:trPr>
                <w:trHeight w:val="503"/>
              </w:trPr>
              <w:tc>
                <w:tcPr>
                  <w:tcW w:w="4957" w:type="dxa"/>
                  <w:vAlign w:val="center"/>
                </w:tcPr>
                <w:p w14:paraId="62AE6EEA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hAnsi="Arial" w:cs="Arial"/>
                      <w:color w:val="525252"/>
                      <w:sz w:val="20"/>
                      <w:szCs w:val="20"/>
                      <w:lang w:val="es-CO" w:eastAsia="es-CO"/>
                    </w:rPr>
                    <w:t>Materia grasa % m/m</w:t>
                  </w:r>
                </w:p>
              </w:tc>
              <w:tc>
                <w:tcPr>
                  <w:tcW w:w="1842" w:type="dxa"/>
                  <w:vAlign w:val="center"/>
                </w:tcPr>
                <w:p w14:paraId="58E1FFDE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hAnsi="Arial" w:cs="Arial"/>
                      <w:color w:val="525252"/>
                      <w:sz w:val="20"/>
                      <w:szCs w:val="20"/>
                      <w:lang w:val="es-CO" w:eastAsia="es-CO"/>
                    </w:rPr>
                    <w:t>Mín. 2.5</w:t>
                  </w:r>
                </w:p>
              </w:tc>
            </w:tr>
            <w:tr w:rsidR="006A4C5D" w:rsidRPr="00FE097E" w14:paraId="29F3597F" w14:textId="77777777" w:rsidTr="004A0720">
              <w:trPr>
                <w:trHeight w:val="503"/>
              </w:trPr>
              <w:tc>
                <w:tcPr>
                  <w:tcW w:w="4957" w:type="dxa"/>
                  <w:vAlign w:val="center"/>
                </w:tcPr>
                <w:p w14:paraId="36F48AFD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Sólidos Lácteos No Grasos % m/m, mínimo</w:t>
                  </w:r>
                </w:p>
              </w:tc>
              <w:tc>
                <w:tcPr>
                  <w:tcW w:w="1842" w:type="dxa"/>
                  <w:vAlign w:val="center"/>
                </w:tcPr>
                <w:p w14:paraId="5E84DBDB" w14:textId="77777777" w:rsidR="006A4C5D" w:rsidRPr="00FE097E" w:rsidRDefault="006A4C5D" w:rsidP="00CD58C3">
                  <w:pPr>
                    <w:pStyle w:val="Textoindependiente2"/>
                    <w:framePr w:hSpace="141" w:wrap="around" w:vAnchor="text" w:hAnchor="text" w:xAlign="right" w:y="1"/>
                    <w:suppressOverlap/>
                    <w:rPr>
                      <w:rFonts w:ascii="Arial" w:eastAsia="MS Mincho" w:hAnsi="Arial" w:cs="Arial"/>
                      <w:color w:val="525252"/>
                      <w:sz w:val="20"/>
                      <w:lang w:val="es-ES" w:eastAsia="es-ES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</w:rPr>
                    <w:t xml:space="preserve">7.0 </w:t>
                  </w:r>
                </w:p>
              </w:tc>
            </w:tr>
            <w:tr w:rsidR="006A4C5D" w:rsidRPr="00FE097E" w14:paraId="705513BD" w14:textId="77777777" w:rsidTr="004A0720">
              <w:trPr>
                <w:trHeight w:val="503"/>
              </w:trPr>
              <w:tc>
                <w:tcPr>
                  <w:tcW w:w="4957" w:type="dxa"/>
                  <w:vAlign w:val="center"/>
                </w:tcPr>
                <w:p w14:paraId="77BD170E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Acidez como ácido láctico % m/m</w:t>
                  </w:r>
                </w:p>
              </w:tc>
              <w:tc>
                <w:tcPr>
                  <w:tcW w:w="1842" w:type="dxa"/>
                  <w:vAlign w:val="center"/>
                </w:tcPr>
                <w:p w14:paraId="2C2A5D96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0.70-1.50</w:t>
                  </w:r>
                </w:p>
              </w:tc>
            </w:tr>
            <w:tr w:rsidR="006A4C5D" w:rsidRPr="00FE097E" w14:paraId="09ADDC0D" w14:textId="77777777" w:rsidTr="004A0720">
              <w:trPr>
                <w:trHeight w:val="503"/>
              </w:trPr>
              <w:tc>
                <w:tcPr>
                  <w:tcW w:w="4957" w:type="dxa"/>
                  <w:vAlign w:val="center"/>
                </w:tcPr>
                <w:p w14:paraId="0AE3281C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 xml:space="preserve">Prueba de Fosfatasa Alcalina </w:t>
                  </w:r>
                </w:p>
              </w:tc>
              <w:tc>
                <w:tcPr>
                  <w:tcW w:w="1842" w:type="dxa"/>
                  <w:vAlign w:val="center"/>
                </w:tcPr>
                <w:p w14:paraId="478663C2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Negativa</w:t>
                  </w:r>
                </w:p>
              </w:tc>
            </w:tr>
          </w:tbl>
          <w:p w14:paraId="6DDF98A4" w14:textId="77777777" w:rsidR="006A4C5D" w:rsidRPr="00FE097E" w:rsidRDefault="006A4C5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</w:p>
          <w:p w14:paraId="35EFB514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</w:rPr>
              <w:t>Características microbiológicas:</w:t>
            </w:r>
          </w:p>
          <w:p w14:paraId="48029083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25"/>
              <w:gridCol w:w="1309"/>
              <w:gridCol w:w="1316"/>
              <w:gridCol w:w="655"/>
              <w:gridCol w:w="1970"/>
            </w:tblGrid>
            <w:tr w:rsidR="006A4C5D" w:rsidRPr="00FE097E" w14:paraId="5AF0F143" w14:textId="77777777" w:rsidTr="004A0720">
              <w:tc>
                <w:tcPr>
                  <w:tcW w:w="1425" w:type="dxa"/>
                  <w:shd w:val="clear" w:color="auto" w:fill="auto"/>
                </w:tcPr>
                <w:p w14:paraId="256EE009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</w:p>
              </w:tc>
              <w:tc>
                <w:tcPr>
                  <w:tcW w:w="1309" w:type="dxa"/>
                  <w:shd w:val="clear" w:color="auto" w:fill="auto"/>
                </w:tcPr>
                <w:p w14:paraId="29958912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68B83C2C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655" w:type="dxa"/>
                  <w:shd w:val="clear" w:color="auto" w:fill="auto"/>
                </w:tcPr>
                <w:p w14:paraId="7EE94C81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1970" w:type="dxa"/>
                  <w:shd w:val="clear" w:color="auto" w:fill="auto"/>
                </w:tcPr>
                <w:p w14:paraId="5728FFFA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c</w:t>
                  </w:r>
                </w:p>
              </w:tc>
            </w:tr>
            <w:tr w:rsidR="006A4C5D" w:rsidRPr="00FE097E" w14:paraId="33891ECF" w14:textId="77777777" w:rsidTr="004A0720">
              <w:tc>
                <w:tcPr>
                  <w:tcW w:w="1425" w:type="dxa"/>
                  <w:shd w:val="clear" w:color="auto" w:fill="auto"/>
                </w:tcPr>
                <w:p w14:paraId="68647034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NMP Coliformes Totales/g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70316510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31FEFF6A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55" w:type="dxa"/>
                  <w:shd w:val="clear" w:color="auto" w:fill="auto"/>
                </w:tcPr>
                <w:p w14:paraId="1E994EDD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1970" w:type="dxa"/>
                  <w:shd w:val="clear" w:color="auto" w:fill="auto"/>
                </w:tcPr>
                <w:p w14:paraId="7A734774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1</w:t>
                  </w:r>
                </w:p>
              </w:tc>
            </w:tr>
            <w:tr w:rsidR="006A4C5D" w:rsidRPr="00FE097E" w14:paraId="5A7A5A99" w14:textId="77777777" w:rsidTr="004A0720">
              <w:tc>
                <w:tcPr>
                  <w:tcW w:w="1425" w:type="dxa"/>
                  <w:shd w:val="clear" w:color="auto" w:fill="auto"/>
                </w:tcPr>
                <w:p w14:paraId="2E6FB3CE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NMP Coliformes fecales/g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0E51C00E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714180DF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&lt;3</w:t>
                  </w:r>
                </w:p>
              </w:tc>
              <w:tc>
                <w:tcPr>
                  <w:tcW w:w="655" w:type="dxa"/>
                  <w:shd w:val="clear" w:color="auto" w:fill="auto"/>
                </w:tcPr>
                <w:p w14:paraId="78F9D628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970" w:type="dxa"/>
                  <w:shd w:val="clear" w:color="auto" w:fill="auto"/>
                </w:tcPr>
                <w:p w14:paraId="2399B325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0</w:t>
                  </w:r>
                </w:p>
              </w:tc>
            </w:tr>
            <w:tr w:rsidR="006A4C5D" w:rsidRPr="00FE097E" w14:paraId="2408F6D4" w14:textId="77777777" w:rsidTr="004A0720">
              <w:tc>
                <w:tcPr>
                  <w:tcW w:w="1425" w:type="dxa"/>
                  <w:shd w:val="clear" w:color="auto" w:fill="auto"/>
                </w:tcPr>
                <w:p w14:paraId="22F2765A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Hongos y levaduras/g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4AB31B35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5427A927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55" w:type="dxa"/>
                  <w:shd w:val="clear" w:color="auto" w:fill="auto"/>
                </w:tcPr>
                <w:p w14:paraId="10912266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970" w:type="dxa"/>
                  <w:shd w:val="clear" w:color="auto" w:fill="auto"/>
                </w:tcPr>
                <w:p w14:paraId="2AE165BE" w14:textId="77777777" w:rsidR="006A4C5D" w:rsidRPr="00FE097E" w:rsidRDefault="006A4C5D" w:rsidP="00CD58C3">
                  <w:pPr>
                    <w:framePr w:hSpace="141" w:wrap="around" w:vAnchor="text" w:hAnchor="text" w:xAlign="right" w:y="1"/>
                    <w:ind w:right="71"/>
                    <w:suppressOverlap/>
                    <w:jc w:val="both"/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</w:pPr>
                  <w:r w:rsidRPr="00FE097E">
                    <w:rPr>
                      <w:rFonts w:ascii="Arial" w:eastAsia="MS Mincho" w:hAnsi="Arial" w:cs="Arial"/>
                      <w:color w:val="525252"/>
                      <w:sz w:val="20"/>
                      <w:szCs w:val="20"/>
                    </w:rPr>
                    <w:t>1</w:t>
                  </w:r>
                </w:p>
              </w:tc>
            </w:tr>
          </w:tbl>
          <w:p w14:paraId="06F1DD77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p w14:paraId="07C9C56C" w14:textId="77777777" w:rsidR="006A4C5D" w:rsidRDefault="006A4C5D" w:rsidP="004A07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</w:rPr>
              <w:t>Calidad Nutricional (por 100 g):</w:t>
            </w:r>
          </w:p>
          <w:p w14:paraId="62A773A2" w14:textId="77777777" w:rsidR="001601EA" w:rsidRDefault="001601EA" w:rsidP="004A07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9"/>
              <w:gridCol w:w="850"/>
              <w:gridCol w:w="850"/>
              <w:gridCol w:w="850"/>
              <w:gridCol w:w="850"/>
              <w:gridCol w:w="850"/>
              <w:gridCol w:w="850"/>
              <w:gridCol w:w="850"/>
            </w:tblGrid>
            <w:tr w:rsidR="001601EA" w14:paraId="774DC6CD" w14:textId="77777777" w:rsidTr="00B664B8">
              <w:tc>
                <w:tcPr>
                  <w:tcW w:w="849" w:type="dxa"/>
                  <w:vAlign w:val="center"/>
                </w:tcPr>
                <w:p w14:paraId="4D0BFEEB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850" w:type="dxa"/>
                  <w:vAlign w:val="center"/>
                </w:tcPr>
                <w:p w14:paraId="603F5AE1" w14:textId="77777777" w:rsidR="001601EA" w:rsidRDefault="00D737FF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PROTEÍ</w:t>
                  </w:r>
                  <w:r w:rsidR="001601EA"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50" w:type="dxa"/>
                  <w:vAlign w:val="center"/>
                </w:tcPr>
                <w:p w14:paraId="798E5DF3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50" w:type="dxa"/>
                  <w:vAlign w:val="center"/>
                </w:tcPr>
                <w:p w14:paraId="65B728EA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850" w:type="dxa"/>
                  <w:vAlign w:val="center"/>
                </w:tcPr>
                <w:p w14:paraId="3EA979BE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50" w:type="dxa"/>
                  <w:vAlign w:val="center"/>
                </w:tcPr>
                <w:p w14:paraId="06B0349C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850" w:type="dxa"/>
                  <w:vAlign w:val="center"/>
                </w:tcPr>
                <w:p w14:paraId="30DEFC32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850" w:type="dxa"/>
                  <w:vAlign w:val="center"/>
                </w:tcPr>
                <w:p w14:paraId="757DD47D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1601EA" w14:paraId="50471CDA" w14:textId="77777777" w:rsidTr="00B664B8">
              <w:tc>
                <w:tcPr>
                  <w:tcW w:w="849" w:type="dxa"/>
                  <w:vAlign w:val="center"/>
                </w:tcPr>
                <w:p w14:paraId="7DD0AF5D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80 - 100</w:t>
                  </w:r>
                </w:p>
              </w:tc>
              <w:tc>
                <w:tcPr>
                  <w:tcW w:w="850" w:type="dxa"/>
                  <w:vAlign w:val="center"/>
                </w:tcPr>
                <w:p w14:paraId="49E47D98" w14:textId="6EDA824C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Mínimo 2,</w:t>
                  </w:r>
                  <w:r w:rsidR="008509C1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8</w:t>
                  </w:r>
                </w:p>
              </w:tc>
              <w:tc>
                <w:tcPr>
                  <w:tcW w:w="850" w:type="dxa"/>
                  <w:vAlign w:val="center"/>
                </w:tcPr>
                <w:p w14:paraId="5DB2FEF8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3</w:t>
                  </w:r>
                </w:p>
              </w:tc>
              <w:tc>
                <w:tcPr>
                  <w:tcW w:w="850" w:type="dxa"/>
                  <w:vAlign w:val="center"/>
                </w:tcPr>
                <w:p w14:paraId="36EC4643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850" w:type="dxa"/>
                  <w:vAlign w:val="center"/>
                </w:tcPr>
                <w:p w14:paraId="21504DD6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14:paraId="20C6C7E3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14</w:t>
                  </w:r>
                </w:p>
              </w:tc>
              <w:tc>
                <w:tcPr>
                  <w:tcW w:w="850" w:type="dxa"/>
                  <w:vAlign w:val="center"/>
                </w:tcPr>
                <w:p w14:paraId="04EF0B56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12</w:t>
                  </w:r>
                </w:p>
              </w:tc>
              <w:tc>
                <w:tcPr>
                  <w:tcW w:w="850" w:type="dxa"/>
                  <w:vAlign w:val="center"/>
                </w:tcPr>
                <w:p w14:paraId="61929ABD" w14:textId="77777777" w:rsidR="001601EA" w:rsidRDefault="001601EA" w:rsidP="00CD58C3">
                  <w:pPr>
                    <w:framePr w:hSpace="141" w:wrap="around" w:vAnchor="text" w:hAnchor="text" w:xAlign="righ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b/>
                      <w:color w:val="525252"/>
                      <w:sz w:val="20"/>
                      <w:szCs w:val="20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50</w:t>
                  </w:r>
                </w:p>
              </w:tc>
            </w:tr>
          </w:tbl>
          <w:p w14:paraId="532AA904" w14:textId="77777777" w:rsidR="001601EA" w:rsidRPr="00FE097E" w:rsidRDefault="001601EA" w:rsidP="004A07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</w:p>
          <w:p w14:paraId="26A2E5C8" w14:textId="77777777" w:rsidR="006A4C5D" w:rsidRPr="00FE097E" w:rsidRDefault="006A4C5D" w:rsidP="004A07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  <w:u w:val="single"/>
              </w:rPr>
              <w:t>Nombre específico de los ingredientes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  <w:u w:val="single"/>
              </w:rPr>
              <w:t>:</w:t>
            </w:r>
            <w:r w:rsidR="000D3F3B">
              <w:rPr>
                <w:rFonts w:ascii="Arial" w:hAnsi="Arial" w:cs="Arial"/>
                <w:color w:val="525252"/>
                <w:sz w:val="20"/>
                <w:szCs w:val="20"/>
              </w:rPr>
              <w:t xml:space="preserve">  L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eche entera pasteurizada,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  <w:lang w:val="es-CO" w:eastAsia="es-CO"/>
              </w:rPr>
              <w:t xml:space="preserve"> azúcar, con frutas naturales o mermeladas o concentrados de frutas, Cultivos lácticos específicos, otros cultivos para dar características especiales al producto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.</w:t>
            </w:r>
          </w:p>
          <w:p w14:paraId="5255EFA3" w14:textId="77777777" w:rsidR="006A4C5D" w:rsidRPr="00FE097E" w:rsidRDefault="006A4C5D" w:rsidP="004A07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p w14:paraId="45D73314" w14:textId="77777777" w:rsidR="006A4C5D" w:rsidRPr="00FE097E" w:rsidRDefault="006A4C5D" w:rsidP="004A07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  <w:u w:val="single"/>
              </w:rPr>
              <w:t>Aditivos: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 Se deben emplear los ingredientes permitidos en la normatividad sanitaria vigente. En cuanto a los aditivos, deberá(n) ser reportado(s) de manera obligatoria con su nombre específico.</w:t>
            </w:r>
          </w:p>
          <w:p w14:paraId="6BCF7190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b/>
                <w:color w:val="525252"/>
                <w:sz w:val="20"/>
                <w:szCs w:val="20"/>
              </w:rPr>
            </w:pPr>
          </w:p>
          <w:p w14:paraId="10447F5A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  <w:u w:val="single"/>
              </w:rPr>
              <w:t>Vida útil, fecha de vencimiento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  <w:u w:val="single"/>
              </w:rPr>
              <w:t>: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 El tiempo de duración sanitaria es determinado por el fabricante. En el momento del suministro el producto debe ser entregado con mínimo el 50% de su vida útil al proveedor logístico.</w:t>
            </w:r>
          </w:p>
        </w:tc>
      </w:tr>
      <w:tr w:rsidR="006A4C5D" w:rsidRPr="00FE097E" w14:paraId="0DDE34A9" w14:textId="77777777" w:rsidTr="004A0720">
        <w:trPr>
          <w:trHeight w:val="548"/>
        </w:trPr>
        <w:tc>
          <w:tcPr>
            <w:tcW w:w="21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8133D" w14:textId="77777777" w:rsidR="006A4C5D" w:rsidRPr="00FE097E" w:rsidRDefault="006A4C5D" w:rsidP="004A0720">
            <w:pPr>
              <w:jc w:val="both"/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bCs/>
                <w:color w:val="525252"/>
                <w:sz w:val="20"/>
                <w:szCs w:val="20"/>
              </w:rPr>
              <w:t>Empaque  y rotulado</w:t>
            </w:r>
          </w:p>
        </w:tc>
        <w:tc>
          <w:tcPr>
            <w:tcW w:w="69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7109C" w14:textId="77777777" w:rsidR="006A4C5D" w:rsidRPr="00FE097E" w:rsidRDefault="006A4C5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  <w:u w:val="single"/>
              </w:rPr>
              <w:t>Empaque primario:</w:t>
            </w: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</w:rPr>
              <w:t xml:space="preserve"> 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El empaque primario debe cumplir cabalmente con las especificaciones técnicas establecidas en la Resolución 683 de 2012 y las demás normas que la modifique o sustituya. El producto debe ser empacado o envasado en empaque flexible, grado alimenticio, inerte, que no genere migraciones de componentes al producto, resistente, no debe ser permeable a la luz,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flexográfica</w:t>
            </w:r>
            <w:proofErr w:type="spellEnd"/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. El sellado deberá garantizar la integridad higiénica, microbiológica, sensorial y fisicoquímica del producto.</w:t>
            </w:r>
          </w:p>
          <w:p w14:paraId="0CA4F77C" w14:textId="77777777" w:rsidR="006A4C5D" w:rsidRPr="00FE097E" w:rsidRDefault="006A4C5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p w14:paraId="2FB6F61D" w14:textId="77777777" w:rsidR="006A4C5D" w:rsidRPr="00FE097E" w:rsidRDefault="006A4C5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  <w:u w:val="single"/>
              </w:rPr>
              <w:t>Rotulado:</w:t>
            </w:r>
            <w:r w:rsidRPr="00FE097E">
              <w:rPr>
                <w:rFonts w:ascii="Arial" w:hAnsi="Arial" w:cs="Arial"/>
                <w:b/>
                <w:color w:val="525252"/>
                <w:sz w:val="20"/>
                <w:szCs w:val="20"/>
              </w:rPr>
              <w:t xml:space="preserve"> 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El rotulado, debe contener la información establecida en la Resolución 5109 de 2005 y Resolución 333 de 2011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 xml:space="preserve"> y las demás normas que modifiquen, sustituyan o adicionen la reglamentación mencionada una vez entren en vigencia.</w:t>
            </w:r>
          </w:p>
          <w:p w14:paraId="190C7481" w14:textId="77777777" w:rsidR="006A4C5D" w:rsidRPr="00FE097E" w:rsidRDefault="006A4C5D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</w:tc>
      </w:tr>
      <w:tr w:rsidR="006A4C5D" w:rsidRPr="00FE097E" w14:paraId="3324A402" w14:textId="77777777" w:rsidTr="004A0720">
        <w:trPr>
          <w:trHeight w:val="396"/>
        </w:trPr>
        <w:tc>
          <w:tcPr>
            <w:tcW w:w="21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6E8ED" w14:textId="77777777" w:rsidR="006A4C5D" w:rsidRPr="00FE097E" w:rsidRDefault="006A4C5D" w:rsidP="004A0720">
            <w:pPr>
              <w:tabs>
                <w:tab w:val="left" w:pos="7740"/>
              </w:tabs>
              <w:jc w:val="both"/>
              <w:rPr>
                <w:rFonts w:ascii="Arial" w:hAnsi="Arial" w:cs="Arial"/>
                <w:b/>
                <w:bCs/>
                <w:color w:val="525252"/>
                <w:sz w:val="20"/>
                <w:szCs w:val="20"/>
                <w:u w:val="single"/>
              </w:rPr>
            </w:pPr>
            <w:r w:rsidRPr="00FE097E">
              <w:rPr>
                <w:rFonts w:ascii="Arial" w:hAnsi="Arial" w:cs="Arial"/>
                <w:b/>
                <w:bCs/>
                <w:color w:val="52525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94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72820B" w14:textId="77777777" w:rsidR="006A4C5D" w:rsidRPr="00FE097E" w:rsidRDefault="006A4C5D" w:rsidP="004A0720">
            <w:pPr>
              <w:tabs>
                <w:tab w:val="left" w:pos="7740"/>
              </w:tabs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</w:p>
          <w:p w14:paraId="3BF3D7CF" w14:textId="77777777" w:rsidR="006A4C5D" w:rsidRPr="00FE097E" w:rsidRDefault="006A4C5D" w:rsidP="004A0720">
            <w:pPr>
              <w:tabs>
                <w:tab w:val="left" w:pos="7740"/>
              </w:tabs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Refrigerio Tipo A Unidad x 200 ml ó cm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  <w:vertAlign w:val="superscript"/>
              </w:rPr>
              <w:t>3</w:t>
            </w:r>
          </w:p>
          <w:p w14:paraId="14AAE4B0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vertAlign w:val="superscript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Refrigerio Tipo B Unidad x 200 ml ó cm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  <w:vertAlign w:val="superscript"/>
              </w:rPr>
              <w:t>3</w:t>
            </w:r>
          </w:p>
          <w:p w14:paraId="7B13E829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  <w:vertAlign w:val="superscript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Refrigerio Tipo C y N Unidad x 200 ml ó cm</w:t>
            </w:r>
            <w:r w:rsidRPr="00FE097E">
              <w:rPr>
                <w:rFonts w:ascii="Arial" w:hAnsi="Arial" w:cs="Arial"/>
                <w:color w:val="525252"/>
                <w:sz w:val="20"/>
                <w:szCs w:val="20"/>
                <w:vertAlign w:val="superscript"/>
              </w:rPr>
              <w:t>3</w:t>
            </w:r>
          </w:p>
          <w:p w14:paraId="45BE5DE3" w14:textId="77777777" w:rsidR="006A4C5D" w:rsidRPr="00FE097E" w:rsidRDefault="006A4C5D" w:rsidP="004A0720">
            <w:pPr>
              <w:ind w:right="71"/>
              <w:jc w:val="both"/>
              <w:rPr>
                <w:rFonts w:ascii="Arial" w:hAnsi="Arial" w:cs="Arial"/>
                <w:color w:val="525252"/>
                <w:sz w:val="20"/>
                <w:szCs w:val="20"/>
              </w:rPr>
            </w:pPr>
            <w:r w:rsidRPr="00FE097E">
              <w:rPr>
                <w:rFonts w:ascii="Arial" w:hAnsi="Arial" w:cs="Arial"/>
                <w:color w:val="525252"/>
                <w:sz w:val="20"/>
                <w:szCs w:val="20"/>
              </w:rPr>
              <w:t>.</w:t>
            </w:r>
          </w:p>
        </w:tc>
      </w:tr>
      <w:bookmarkEnd w:id="0"/>
    </w:tbl>
    <w:p w14:paraId="1FB4B2B3" w14:textId="77777777" w:rsidR="006A4C5D" w:rsidRDefault="006A4C5D" w:rsidP="006A4C5D">
      <w:pPr>
        <w:jc w:val="both"/>
        <w:rPr>
          <w:rFonts w:ascii="Arial" w:hAnsi="Arial" w:cs="Arial"/>
          <w:sz w:val="22"/>
          <w:szCs w:val="22"/>
        </w:rPr>
      </w:pPr>
    </w:p>
    <w:p w14:paraId="72384BED" w14:textId="77777777" w:rsidR="006A4C5D" w:rsidRPr="00FE097E" w:rsidRDefault="006A4C5D" w:rsidP="006A4C5D">
      <w:pPr>
        <w:jc w:val="both"/>
        <w:rPr>
          <w:rFonts w:ascii="Arial" w:hAnsi="Arial" w:cs="Arial"/>
          <w:color w:val="525252"/>
          <w:sz w:val="20"/>
          <w:szCs w:val="20"/>
        </w:rPr>
      </w:pPr>
      <w:r w:rsidRPr="00FE097E">
        <w:rPr>
          <w:rFonts w:ascii="Arial" w:hAnsi="Arial" w:cs="Arial"/>
          <w:b/>
          <w:color w:val="525252"/>
          <w:sz w:val="20"/>
          <w:szCs w:val="20"/>
        </w:rPr>
        <w:t>Nota 1:</w:t>
      </w:r>
      <w:r w:rsidRPr="00FE097E">
        <w:rPr>
          <w:rFonts w:ascii="Arial" w:hAnsi="Arial" w:cs="Arial"/>
          <w:color w:val="525252"/>
          <w:sz w:val="20"/>
          <w:szCs w:val="20"/>
        </w:rPr>
        <w:t xml:space="preserve"> La presente Ficha Técnica describe las características mínimas que deberá cumplir el producto, garantizando los requisitos mínimos establecidos por la SED.</w:t>
      </w:r>
    </w:p>
    <w:p w14:paraId="74C5A733" w14:textId="77777777" w:rsidR="006A4C5D" w:rsidRPr="00FE097E" w:rsidRDefault="006A4C5D" w:rsidP="006A4C5D">
      <w:pPr>
        <w:jc w:val="both"/>
        <w:rPr>
          <w:rFonts w:ascii="Arial" w:hAnsi="Arial" w:cs="Arial"/>
          <w:color w:val="525252"/>
          <w:sz w:val="20"/>
          <w:szCs w:val="20"/>
        </w:rPr>
      </w:pPr>
    </w:p>
    <w:p w14:paraId="5DAC4324" w14:textId="77777777" w:rsidR="006A4C5D" w:rsidRPr="00FE097E" w:rsidRDefault="006A4C5D" w:rsidP="006A4C5D">
      <w:pPr>
        <w:pStyle w:val="Prrafodelista"/>
        <w:autoSpaceDE w:val="0"/>
        <w:autoSpaceDN w:val="0"/>
        <w:ind w:left="0" w:right="184"/>
        <w:jc w:val="both"/>
        <w:rPr>
          <w:rFonts w:ascii="Arial" w:hAnsi="Arial" w:cs="Arial"/>
          <w:color w:val="525252"/>
          <w:sz w:val="20"/>
          <w:szCs w:val="20"/>
        </w:rPr>
      </w:pPr>
      <w:r w:rsidRPr="00FE097E">
        <w:rPr>
          <w:rFonts w:ascii="Arial" w:hAnsi="Arial" w:cs="Arial"/>
          <w:b/>
          <w:color w:val="525252"/>
          <w:sz w:val="20"/>
          <w:szCs w:val="20"/>
        </w:rPr>
        <w:t>Nota 2:</w:t>
      </w:r>
      <w:r w:rsidRPr="00FE097E">
        <w:rPr>
          <w:rFonts w:ascii="Arial" w:hAnsi="Arial" w:cs="Arial"/>
          <w:color w:val="525252"/>
          <w:sz w:val="20"/>
          <w:szCs w:val="20"/>
        </w:rPr>
        <w:t xml:space="preserve"> Los ingredientes que aparecen en la presente Ficha Técnica del producto son los mínimos establecidos para su elaboración, sin embargo, pueden contener otros ingredientes o aditivos que contribuyan con las características de calidad del producto (sabor, color, olor, textura y apariencia), siempre y cuando se encuentren autorizados en la reglamentación sanitaria vigente.</w:t>
      </w:r>
    </w:p>
    <w:p w14:paraId="3498A068" w14:textId="77777777" w:rsidR="006A4C5D" w:rsidRPr="00FE097E" w:rsidRDefault="006A4C5D" w:rsidP="006A4C5D">
      <w:pPr>
        <w:pStyle w:val="Prrafodelista"/>
        <w:autoSpaceDE w:val="0"/>
        <w:autoSpaceDN w:val="0"/>
        <w:ind w:left="0" w:right="184"/>
        <w:jc w:val="both"/>
        <w:rPr>
          <w:rFonts w:ascii="Arial" w:hAnsi="Arial" w:cs="Arial"/>
          <w:color w:val="525252"/>
          <w:sz w:val="20"/>
          <w:szCs w:val="20"/>
        </w:rPr>
      </w:pPr>
    </w:p>
    <w:p w14:paraId="5E4E97F0" w14:textId="77777777" w:rsidR="006A4C5D" w:rsidRPr="00FE097E" w:rsidRDefault="006A4C5D" w:rsidP="006A4C5D">
      <w:pPr>
        <w:tabs>
          <w:tab w:val="left" w:pos="7740"/>
        </w:tabs>
        <w:jc w:val="both"/>
        <w:rPr>
          <w:rFonts w:ascii="Arial" w:hAnsi="Arial" w:cs="Arial"/>
          <w:color w:val="525252"/>
          <w:sz w:val="20"/>
          <w:szCs w:val="20"/>
        </w:rPr>
      </w:pPr>
      <w:r w:rsidRPr="00FE097E">
        <w:rPr>
          <w:rFonts w:ascii="Arial" w:hAnsi="Arial" w:cs="Arial"/>
          <w:b/>
          <w:color w:val="525252"/>
          <w:sz w:val="20"/>
          <w:szCs w:val="20"/>
        </w:rPr>
        <w:t>Nota 3</w:t>
      </w:r>
      <w:r w:rsidRPr="00FE097E">
        <w:rPr>
          <w:rFonts w:ascii="Arial" w:hAnsi="Arial" w:cs="Arial"/>
          <w:color w:val="525252"/>
          <w:sz w:val="20"/>
          <w:szCs w:val="20"/>
        </w:rPr>
        <w:t xml:space="preserve">: En caso tal que el Proveedor, oferte un producto con ingredientes o aditivos adicionales a los mínimos requeridos en la Ficha Técnica; el Proveedor será quien asumirá los costos adicionales generados por las características agregadas al producto. Es decir, la </w:t>
      </w:r>
      <w:r>
        <w:rPr>
          <w:rFonts w:ascii="Arial" w:hAnsi="Arial" w:cs="Arial"/>
          <w:color w:val="525252"/>
          <w:sz w:val="20"/>
          <w:szCs w:val="20"/>
        </w:rPr>
        <w:t>SED</w:t>
      </w:r>
      <w:r w:rsidRPr="00FE097E">
        <w:rPr>
          <w:rFonts w:ascii="Arial" w:hAnsi="Arial" w:cs="Arial"/>
          <w:color w:val="525252"/>
          <w:sz w:val="20"/>
          <w:szCs w:val="20"/>
        </w:rPr>
        <w:t xml:space="preserve"> no reconocerá ningún costo adicional a los requisitos mínimos determinados en la Ficha Técnica del producto.</w:t>
      </w:r>
    </w:p>
    <w:p w14:paraId="0827AA15" w14:textId="77777777" w:rsidR="006A4C5D" w:rsidRPr="00FE097E" w:rsidRDefault="006A4C5D" w:rsidP="006A4C5D">
      <w:pPr>
        <w:tabs>
          <w:tab w:val="left" w:pos="7740"/>
        </w:tabs>
        <w:jc w:val="both"/>
        <w:rPr>
          <w:rFonts w:ascii="Arial" w:hAnsi="Arial" w:cs="Arial"/>
          <w:color w:val="525252"/>
          <w:sz w:val="20"/>
          <w:szCs w:val="20"/>
        </w:rPr>
      </w:pPr>
    </w:p>
    <w:p w14:paraId="74B49D93" w14:textId="77777777" w:rsidR="006A4C5D" w:rsidRPr="00FE097E" w:rsidRDefault="006A4C5D" w:rsidP="006A4C5D">
      <w:pPr>
        <w:tabs>
          <w:tab w:val="left" w:pos="7740"/>
        </w:tabs>
        <w:jc w:val="both"/>
        <w:rPr>
          <w:rFonts w:ascii="Arial" w:hAnsi="Arial" w:cs="Arial"/>
          <w:color w:val="525252"/>
          <w:sz w:val="20"/>
          <w:szCs w:val="20"/>
        </w:rPr>
      </w:pPr>
      <w:r w:rsidRPr="00FE097E">
        <w:rPr>
          <w:rFonts w:ascii="Arial" w:hAnsi="Arial" w:cs="Arial"/>
          <w:b/>
          <w:color w:val="525252"/>
          <w:sz w:val="20"/>
          <w:szCs w:val="20"/>
        </w:rPr>
        <w:t>Nota 4</w:t>
      </w:r>
      <w:r w:rsidRPr="00FE097E">
        <w:rPr>
          <w:rFonts w:ascii="Arial" w:hAnsi="Arial" w:cs="Arial"/>
          <w:color w:val="525252"/>
          <w:sz w:val="20"/>
          <w:szCs w:val="20"/>
        </w:rPr>
        <w:t xml:space="preserve">: El proveedor debe reportar la información nutricional del producto en el empaque primario, como lo establece la resolución 5109 del 2005 y la resolución 333 de 2011 </w:t>
      </w:r>
      <w:r w:rsidRPr="00B2503F">
        <w:rPr>
          <w:rFonts w:ascii="Arial" w:hAnsi="Arial" w:cs="Arial"/>
          <w:color w:val="4C4C4C"/>
          <w:sz w:val="20"/>
          <w:szCs w:val="20"/>
        </w:rPr>
        <w:t>expedida</w:t>
      </w:r>
      <w:r>
        <w:rPr>
          <w:rFonts w:ascii="Arial" w:hAnsi="Arial" w:cs="Arial"/>
          <w:color w:val="4C4C4C"/>
          <w:sz w:val="20"/>
          <w:szCs w:val="20"/>
        </w:rPr>
        <w:t>s</w:t>
      </w:r>
      <w:r w:rsidRPr="00B2503F">
        <w:rPr>
          <w:rFonts w:ascii="Arial" w:hAnsi="Arial" w:cs="Arial"/>
          <w:color w:val="4C4C4C"/>
          <w:sz w:val="20"/>
          <w:szCs w:val="20"/>
        </w:rPr>
        <w:t xml:space="preserve"> por el Ministerio de Salud y Protección Social</w:t>
      </w:r>
      <w:r w:rsidRPr="00FE097E">
        <w:rPr>
          <w:rFonts w:ascii="Arial" w:hAnsi="Arial" w:cs="Arial"/>
          <w:color w:val="525252"/>
          <w:sz w:val="20"/>
          <w:szCs w:val="20"/>
        </w:rPr>
        <w:t xml:space="preserve">. </w:t>
      </w:r>
    </w:p>
    <w:p w14:paraId="500E0836" w14:textId="77777777" w:rsidR="006A4C5D" w:rsidRPr="00091479" w:rsidRDefault="006A4C5D" w:rsidP="006A4C5D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455DEA8A" w14:textId="77777777" w:rsidR="006A4C5D" w:rsidRPr="00091479" w:rsidRDefault="006A4C5D" w:rsidP="006A4C5D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3EFB91B1" w14:textId="77777777" w:rsidR="006A4C5D" w:rsidRPr="00091479" w:rsidRDefault="006A4C5D" w:rsidP="006A4C5D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5410F9CF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31370" w14:textId="77777777" w:rsidR="00190107" w:rsidRDefault="00190107" w:rsidP="004F2C35">
      <w:r>
        <w:separator/>
      </w:r>
    </w:p>
  </w:endnote>
  <w:endnote w:type="continuationSeparator" w:id="0">
    <w:p w14:paraId="0E822263" w14:textId="77777777" w:rsidR="00190107" w:rsidRDefault="00190107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1A059" w14:textId="77777777" w:rsidR="00C50D27" w:rsidRDefault="00C50D27">
    <w:pPr>
      <w:pStyle w:val="Piedepgina"/>
      <w:jc w:val="right"/>
    </w:pPr>
  </w:p>
  <w:p w14:paraId="4C313C3D" w14:textId="77777777" w:rsidR="004F2C35" w:rsidRPr="00C50D27" w:rsidRDefault="00F532BF" w:rsidP="00C50D27">
    <w:pPr>
      <w:pStyle w:val="Piedepgina"/>
    </w:pPr>
    <w:r>
      <w:rPr>
        <w:noProof/>
        <w:lang w:val="es-CO" w:eastAsia="es-CO"/>
      </w:rPr>
      <w:drawing>
        <wp:inline distT="0" distB="0" distL="0" distR="0" wp14:anchorId="407A0134" wp14:editId="238D0C5F">
          <wp:extent cx="5612130" cy="791845"/>
          <wp:effectExtent l="0" t="0" r="7620" b="8255"/>
          <wp:docPr id="3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erre_Documento_CCE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91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3F376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6BDD91F" wp14:editId="2C3F4BB6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6FA777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1348499B" wp14:editId="573C7388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59347E" w14:textId="77777777" w:rsidR="00190107" w:rsidRDefault="00190107" w:rsidP="004F2C35">
      <w:r>
        <w:separator/>
      </w:r>
    </w:p>
  </w:footnote>
  <w:footnote w:type="continuationSeparator" w:id="0">
    <w:p w14:paraId="0048B951" w14:textId="77777777" w:rsidR="00190107" w:rsidRDefault="00190107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7E3F8" w14:textId="77777777" w:rsidR="006D761F" w:rsidRDefault="006D761F" w:rsidP="006D761F">
    <w:pPr>
      <w:pStyle w:val="Encabezado"/>
      <w:jc w:val="right"/>
      <w:rPr>
        <w:b/>
      </w:rPr>
    </w:pPr>
  </w:p>
  <w:p w14:paraId="572169EC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6F48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7520623D" wp14:editId="7665B42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10BED687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438AE7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A2F07"/>
    <w:multiLevelType w:val="hybridMultilevel"/>
    <w:tmpl w:val="D5EA20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C5D"/>
    <w:rsid w:val="00091E6B"/>
    <w:rsid w:val="00096E6A"/>
    <w:rsid w:val="000D3F3B"/>
    <w:rsid w:val="000D7CD2"/>
    <w:rsid w:val="0014591D"/>
    <w:rsid w:val="00154ECB"/>
    <w:rsid w:val="001601EA"/>
    <w:rsid w:val="00181D75"/>
    <w:rsid w:val="00190107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2C402D"/>
    <w:rsid w:val="00305CEF"/>
    <w:rsid w:val="0034024E"/>
    <w:rsid w:val="00376CE1"/>
    <w:rsid w:val="003E173E"/>
    <w:rsid w:val="003F1B79"/>
    <w:rsid w:val="00474EDE"/>
    <w:rsid w:val="004B1B0F"/>
    <w:rsid w:val="004F2C35"/>
    <w:rsid w:val="00507DE9"/>
    <w:rsid w:val="0051560B"/>
    <w:rsid w:val="005225E0"/>
    <w:rsid w:val="0059060F"/>
    <w:rsid w:val="00614236"/>
    <w:rsid w:val="0065617D"/>
    <w:rsid w:val="006A4C5D"/>
    <w:rsid w:val="006A63AE"/>
    <w:rsid w:val="006D761F"/>
    <w:rsid w:val="007212F3"/>
    <w:rsid w:val="00751787"/>
    <w:rsid w:val="007C1BAD"/>
    <w:rsid w:val="008509C1"/>
    <w:rsid w:val="008A1A6F"/>
    <w:rsid w:val="008A71EC"/>
    <w:rsid w:val="008C7D05"/>
    <w:rsid w:val="009A67BC"/>
    <w:rsid w:val="009B26E4"/>
    <w:rsid w:val="00A06874"/>
    <w:rsid w:val="00A34836"/>
    <w:rsid w:val="00AB2B47"/>
    <w:rsid w:val="00AB53EA"/>
    <w:rsid w:val="00B11CD8"/>
    <w:rsid w:val="00B30435"/>
    <w:rsid w:val="00B664B8"/>
    <w:rsid w:val="00C2579D"/>
    <w:rsid w:val="00C50D27"/>
    <w:rsid w:val="00C81483"/>
    <w:rsid w:val="00CD58C3"/>
    <w:rsid w:val="00D67F6F"/>
    <w:rsid w:val="00D737FF"/>
    <w:rsid w:val="00E40949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C03499"/>
  <w15:docId w15:val="{6B67DA57-FAB4-42DA-A97A-95BCD0EE4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4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styleId="Textoindependiente2">
    <w:name w:val="Body Text 2"/>
    <w:basedOn w:val="Normal"/>
    <w:link w:val="Textoindependiente2Car"/>
    <w:uiPriority w:val="99"/>
    <w:rsid w:val="006A4C5D"/>
    <w:pPr>
      <w:tabs>
        <w:tab w:val="left" w:pos="900"/>
      </w:tabs>
      <w:ind w:right="-57"/>
      <w:jc w:val="both"/>
    </w:pPr>
    <w:rPr>
      <w:rFonts w:ascii="Verdana" w:eastAsia="Batang" w:hAnsi="Verdana"/>
      <w:sz w:val="22"/>
      <w:szCs w:val="20"/>
      <w:lang w:val="es-ES_tradnl" w:eastAsia="x-none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A4C5D"/>
    <w:rPr>
      <w:rFonts w:ascii="Verdana" w:eastAsia="Batang" w:hAnsi="Verdana" w:cs="Times New Roman"/>
      <w:szCs w:val="20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4991C-7951-41C4-BFCC-6E358A76F254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99cf77a6-9fdf-48f0-bab1-4f9db627116e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716DC2-3350-4103-89B9-9E9AD4CBA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B1965D-FA1A-44E1-B174-46D06D63BD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1A33E1-D171-4346-AF09-48E688A17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205003D4</Template>
  <TotalTime>6</TotalTime>
  <Pages>4</Pages>
  <Words>1153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Margareth Jaramillo Echeverry</cp:lastModifiedBy>
  <cp:revision>6</cp:revision>
  <cp:lastPrinted>2017-09-28T22:28:00Z</cp:lastPrinted>
  <dcterms:created xsi:type="dcterms:W3CDTF">2018-05-16T04:23:00Z</dcterms:created>
  <dcterms:modified xsi:type="dcterms:W3CDTF">2018-05-23T18:53:00Z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