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6980"/>
      </w:tblGrid>
      <w:tr w:rsidR="00122C48" w:rsidRPr="00122C48" w14:paraId="63A59F8E" w14:textId="77777777" w:rsidTr="00E468D3">
        <w:trPr>
          <w:trHeight w:val="721"/>
        </w:trPr>
        <w:tc>
          <w:tcPr>
            <w:tcW w:w="1773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B67E0A" w14:textId="77777777" w:rsidR="00122C48" w:rsidRPr="00122C48" w:rsidRDefault="00122C48">
            <w:pPr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122C48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980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0E3F77" w14:textId="77777777" w:rsidR="00122C48" w:rsidRPr="003E584A" w:rsidRDefault="00122C48" w:rsidP="00122C48">
            <w:pPr>
              <w:autoSpaceDE w:val="0"/>
              <w:autoSpaceDN w:val="0"/>
              <w:adjustRightInd w:val="0"/>
              <w:ind w:right="214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3E584A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es-CO"/>
              </w:rPr>
              <w:t>Barra de cereales con vegetales</w:t>
            </w:r>
            <w:r w:rsidR="003E584A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es-CO"/>
              </w:rPr>
              <w:t>.</w:t>
            </w:r>
          </w:p>
        </w:tc>
      </w:tr>
      <w:tr w:rsidR="00122C48" w:rsidRPr="00122C48" w14:paraId="228B66C1" w14:textId="77777777" w:rsidTr="00E468D3">
        <w:trPr>
          <w:trHeight w:val="721"/>
        </w:trPr>
        <w:tc>
          <w:tcPr>
            <w:tcW w:w="17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E6F6EE" w14:textId="77777777" w:rsidR="00122C48" w:rsidRPr="00122C48" w:rsidRDefault="00122C4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22C4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98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9BFB54" w14:textId="77777777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31058A73" w14:textId="77777777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C9D3BD0" w14:textId="77777777" w:rsidR="00122C48" w:rsidRPr="00122C48" w:rsidRDefault="00122C48" w:rsidP="00122C48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770C72D3" w14:textId="77777777" w:rsidR="00122C48" w:rsidRPr="00122C48" w:rsidRDefault="00122C48" w:rsidP="00122C48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339E07CF" w14:textId="77777777" w:rsidR="00122C48" w:rsidRPr="00122C48" w:rsidRDefault="00122C48" w:rsidP="00122C48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027B6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509E4D1E" w14:textId="77777777" w:rsidR="00122C48" w:rsidRPr="00122C48" w:rsidRDefault="00122C48" w:rsidP="00122C48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2906 de 2007</w:t>
            </w:r>
            <w:r w:rsidR="00027B6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64014539" w14:textId="77777777" w:rsidR="00122C48" w:rsidRPr="00122C48" w:rsidRDefault="00122C48" w:rsidP="00122C48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4506 de 2013.</w:t>
            </w:r>
            <w:r w:rsidR="00027B6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1FC986EF" w14:textId="77777777" w:rsidR="00122C48" w:rsidRPr="00122C48" w:rsidRDefault="00122C48" w:rsidP="00122C48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2671 de 2014</w:t>
            </w:r>
            <w:r w:rsidR="00027B6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114A2F88" w14:textId="77777777" w:rsidR="00122C48" w:rsidRPr="00122C48" w:rsidRDefault="00122C48" w:rsidP="00122C48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3709 de 2015</w:t>
            </w:r>
            <w:r w:rsidR="00027B6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660E2A6D" w14:textId="77777777" w:rsidR="00122C48" w:rsidRPr="00122C48" w:rsidRDefault="00122C48" w:rsidP="00122C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 3749 Productos de molinería, cereales listos para el desayuno.</w:t>
            </w:r>
          </w:p>
          <w:p w14:paraId="487E9660" w14:textId="77777777" w:rsidR="00122C48" w:rsidRPr="00122C48" w:rsidRDefault="00122C48" w:rsidP="00122C4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3581. Industrias alimentarias nivel máximo permitido de aflatoxinas en los alimentos.</w:t>
            </w:r>
          </w:p>
          <w:p w14:paraId="3B5BC79A" w14:textId="77777777" w:rsidR="00122C48" w:rsidRPr="00122C48" w:rsidRDefault="00122C48">
            <w:pPr>
              <w:autoSpaceDE w:val="0"/>
              <w:autoSpaceDN w:val="0"/>
              <w:adjustRightInd w:val="0"/>
              <w:ind w:left="720"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B0539E8" w14:textId="77777777" w:rsidR="00122C48" w:rsidRPr="00122C48" w:rsidRDefault="00122C48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122C48" w:rsidRPr="00122C48" w14:paraId="201D2632" w14:textId="77777777" w:rsidTr="00E468D3">
        <w:trPr>
          <w:trHeight w:val="869"/>
        </w:trPr>
        <w:tc>
          <w:tcPr>
            <w:tcW w:w="17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F1BC0D" w14:textId="77777777" w:rsidR="00122C48" w:rsidRPr="00122C48" w:rsidRDefault="00122C4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22C4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698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81291" w14:textId="77777777" w:rsidR="00122C48" w:rsidRPr="00122C48" w:rsidRDefault="00122C48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Es una barra </w:t>
            </w:r>
            <w:r w:rsidR="00C0553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compacta 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 base de cereales precocidos, semillas y vegetales deshidratados a los que se añade panela y aceite vegetal.</w:t>
            </w:r>
          </w:p>
          <w:p w14:paraId="327D2855" w14:textId="77777777" w:rsidR="00122C48" w:rsidRPr="00122C48" w:rsidRDefault="00122C48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6810EB0" w14:textId="77777777" w:rsidR="00122C48" w:rsidRPr="00122C48" w:rsidRDefault="00122C48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Corresponde a una mixtura equilibrada realizada con ingredientes seleccionados para satisfacer las necesidades alimenticias de un alimento balanceado. </w:t>
            </w:r>
          </w:p>
        </w:tc>
      </w:tr>
      <w:tr w:rsidR="00122C48" w:rsidRPr="00122C48" w14:paraId="4F6DFAD6" w14:textId="77777777" w:rsidTr="00E468D3">
        <w:trPr>
          <w:trHeight w:val="883"/>
        </w:trPr>
        <w:tc>
          <w:tcPr>
            <w:tcW w:w="17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4EFEBE" w14:textId="77777777" w:rsidR="00122C48" w:rsidRPr="00122C48" w:rsidRDefault="00122C4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22C4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98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89CE" w14:textId="77777777" w:rsidR="00122C48" w:rsidRPr="00122C48" w:rsidRDefault="00122C48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elaborado con cereales precocidos, semillas y vegetales deshidratados</w:t>
            </w:r>
            <w:r w:rsidR="00C3341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aceite vegetal, miel o azúcar en baja proporción.</w:t>
            </w:r>
          </w:p>
          <w:p w14:paraId="4BA661F3" w14:textId="77777777" w:rsidR="00122C48" w:rsidRPr="00122C48" w:rsidRDefault="00122C48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908975F" w14:textId="77777777" w:rsidR="00122C48" w:rsidRPr="00122C48" w:rsidRDefault="00122C48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Se exceptúan los vegetales: berenjena, tomate y pimentón.</w:t>
            </w:r>
          </w:p>
          <w:p w14:paraId="69A3E729" w14:textId="77777777" w:rsidR="00122C48" w:rsidRPr="00122C48" w:rsidRDefault="00122C48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FE7ECF4" w14:textId="77777777" w:rsidR="00122C48" w:rsidRPr="00122C48" w:rsidRDefault="00122C48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estar libre de la presencia de toxinas fúngicas o bacterianas. </w:t>
            </w:r>
          </w:p>
          <w:p w14:paraId="0F7A3D69" w14:textId="77777777" w:rsidR="00122C48" w:rsidRPr="00122C48" w:rsidRDefault="00122C48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F92A6C8" w14:textId="77777777" w:rsidR="00122C48" w:rsidRPr="00122C48" w:rsidRDefault="00122C48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estar libre de la presencia de insectos y cualquier otro tipo de plagas, y o debe contener materias extrañas.</w:t>
            </w:r>
            <w:r w:rsidRPr="00122C4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</w:p>
          <w:p w14:paraId="181524FE" w14:textId="77777777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E38F20C" w14:textId="77777777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 barra de cereales con vegetales debe tener un aspecto con una textura </w:t>
            </w:r>
            <w:r w:rsidR="00C0553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firme, 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suave y flexible, sin señales de resequedad o revenimiento.</w:t>
            </w:r>
          </w:p>
          <w:p w14:paraId="69AAA507" w14:textId="77777777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289E252" w14:textId="77777777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tener color y olor característico de los ingredientes utilizados.</w:t>
            </w:r>
          </w:p>
          <w:p w14:paraId="0EBC4965" w14:textId="77777777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85866DB" w14:textId="77777777" w:rsidR="00122C48" w:rsidRPr="003577E2" w:rsidRDefault="00122C4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3577E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3577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226EBE1F" w14:textId="77777777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D806795" w14:textId="77777777" w:rsidR="00122C48" w:rsidRPr="003577E2" w:rsidRDefault="00122C48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122C4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3577E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e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se debe almacenar a temperatura ambiente, en canastillas plásticas y sobre estibas, en un lugar fresco alejado de focos de contaminación, olores fuertes, libre de plagas, dando cumplimiento a la Resolución 2674 de 2013</w:t>
            </w:r>
            <w:r w:rsidR="00E468D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="00E468D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demás normas que modifiquen, sustituyan o adicionen la 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reglamentación antes mencionada una vez entre en vigencia.  Consumirse después de abierto en el menor tiempo posible.</w:t>
            </w:r>
          </w:p>
          <w:p w14:paraId="12127B13" w14:textId="77777777" w:rsidR="00122C48" w:rsidRPr="00122C48" w:rsidRDefault="00122C48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6A08475D" w14:textId="77777777" w:rsidR="00122C48" w:rsidRPr="00122C48" w:rsidRDefault="00122C48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122C4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577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3577E2"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en canastillas plásticas </w:t>
            </w:r>
            <w:r w:rsidR="00BB1D5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 cajas de cartón corrugado 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sobre estibas, a temperatura ambiente, en un espacio acorde a la cantidad de producto a almacenar, dando cumplimiento a la Resolución 2674 de 2013 y demás normas que modifiquen, sustituyan o adicionen la reglamentación antes mencionada una vez entre en vigencia.</w:t>
            </w:r>
          </w:p>
          <w:p w14:paraId="5AA6B537" w14:textId="77777777" w:rsidR="00122C48" w:rsidRPr="00122C48" w:rsidRDefault="00122C48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35F4CEF" w14:textId="3E19060F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122C4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577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 debe transportar debidamente embalado en condiciones higiénico sanitarias óptimas a temperatura ambiente. El producto no debe tener ningún tipo de contacto con el piso del vehículo, debe ir en canastillas plásticas </w:t>
            </w:r>
            <w:r w:rsidR="00BB1D5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 cajas de cartón corrugado 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sobre estibas para evitar contaminaciones. </w:t>
            </w:r>
          </w:p>
          <w:p w14:paraId="5A176AED" w14:textId="77777777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 anterior dando cumplimiento a la Resolución 2674 de 2013 y demás normas que modifiquen, sustituyan o adicionen la reglamentación antes mencionada una vez entre en vigencia.</w:t>
            </w:r>
          </w:p>
        </w:tc>
      </w:tr>
      <w:tr w:rsidR="00122C48" w:rsidRPr="00122C48" w14:paraId="0B0D42ED" w14:textId="77777777" w:rsidTr="00E468D3">
        <w:trPr>
          <w:trHeight w:val="170"/>
        </w:trPr>
        <w:tc>
          <w:tcPr>
            <w:tcW w:w="17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3CBD6E" w14:textId="77777777" w:rsidR="00122C48" w:rsidRPr="00122C48" w:rsidRDefault="00122C48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22C4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98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C0F0F" w14:textId="77777777" w:rsidR="00122C48" w:rsidRPr="003577E2" w:rsidRDefault="00122C4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577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2D1A9415" w14:textId="77777777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FAFB71A" w14:textId="77777777" w:rsidR="00122C48" w:rsidRPr="00122C48" w:rsidRDefault="00122C48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Fisicoquímicas NTC 3581.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Industrias alimentarias nivel máximo permitido de aflatoxinas en los alimentos.</w:t>
            </w:r>
          </w:p>
          <w:p w14:paraId="4310599B" w14:textId="77777777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54A5E35" w14:textId="77777777" w:rsidR="00122C48" w:rsidRPr="00122C48" w:rsidRDefault="00122C48">
            <w:pPr>
              <w:jc w:val="both"/>
              <w:textAlignment w:val="baseline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contenido máximo de aflatoxinas totales (sumatoria de aflatoxinas B1+B2+G1+G2) en los alimentos para consumo humano directo será de 10 μg/Kg (10 </w:t>
            </w:r>
            <w:proofErr w:type="spellStart"/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ppb</w:t>
            </w:r>
            <w:proofErr w:type="spellEnd"/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).</w:t>
            </w:r>
            <w:r w:rsidR="00F7401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7401C" w:rsidRPr="00F7401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contenido de aflatoxinas </w:t>
            </w:r>
            <w:proofErr w:type="spellStart"/>
            <w:r w:rsidR="00F7401C" w:rsidRPr="00F7401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sera</w:t>
            </w:r>
            <w:proofErr w:type="spellEnd"/>
            <w:r w:rsidR="00F7401C" w:rsidRPr="00F7401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determinada por la Resolución 4506 de 2013, establecida por el ministerio de protección social</w:t>
            </w:r>
          </w:p>
          <w:p w14:paraId="710CFB5B" w14:textId="77777777" w:rsidR="00122C48" w:rsidRPr="00122C48" w:rsidRDefault="00122C48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A13C5AD" w14:textId="77777777" w:rsidR="00122C48" w:rsidRDefault="00122C48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577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 3749 Productos de molinería, cereales listos para el desayuno.</w:t>
            </w:r>
          </w:p>
          <w:p w14:paraId="03933BD1" w14:textId="77777777" w:rsidR="003577E2" w:rsidRPr="003577E2" w:rsidRDefault="003577E2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26A7CB8" w14:textId="77777777" w:rsidR="00122C48" w:rsidRPr="00122C48" w:rsidRDefault="003577E2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mi</w:t>
            </w:r>
            <w:r w:rsidR="00122C48" w:rsidRPr="00122C4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crobiológicas:</w:t>
            </w:r>
          </w:p>
          <w:p w14:paraId="0A3F76BD" w14:textId="77777777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highlight w:val="gree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5"/>
              <w:gridCol w:w="2142"/>
            </w:tblGrid>
            <w:tr w:rsidR="00122C48" w:rsidRPr="00122C48" w14:paraId="763029BE" w14:textId="77777777" w:rsidTr="00122C48"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3FBAE69C" w14:textId="77777777" w:rsidR="00122C48" w:rsidRPr="003577E2" w:rsidRDefault="00122C48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3577E2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2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002DC020" w14:textId="77777777" w:rsidR="00122C48" w:rsidRPr="003577E2" w:rsidRDefault="00122C48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3577E2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 xml:space="preserve">VALOR </w:t>
                  </w:r>
                  <w:r w:rsidR="003577E2" w:rsidRPr="003577E2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REFERENCIA (</w:t>
                  </w:r>
                  <w:r w:rsidRPr="003577E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NTC 3749)</w:t>
                  </w:r>
                </w:p>
              </w:tc>
            </w:tr>
            <w:tr w:rsidR="00122C48" w:rsidRPr="00122C48" w14:paraId="670E445C" w14:textId="77777777" w:rsidTr="00122C48"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BE5EFA" w14:textId="77777777" w:rsidR="00122C48" w:rsidRPr="003577E2" w:rsidRDefault="00122C48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</w:t>
                  </w:r>
                  <w:r w:rsidR="003577E2"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Aerobios mesófilos</w:t>
                  </w:r>
                  <w:r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(UFC/g)</w:t>
                  </w:r>
                </w:p>
              </w:tc>
              <w:tc>
                <w:tcPr>
                  <w:tcW w:w="2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4E75EA" w14:textId="77777777" w:rsidR="00122C48" w:rsidRPr="003577E2" w:rsidRDefault="00122C48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</w:t>
                  </w:r>
                </w:p>
              </w:tc>
            </w:tr>
            <w:tr w:rsidR="00122C48" w:rsidRPr="00122C48" w14:paraId="6378C3FB" w14:textId="77777777" w:rsidTr="00122C48">
              <w:trPr>
                <w:trHeight w:val="322"/>
              </w:trPr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6159A9" w14:textId="77777777" w:rsidR="00122C48" w:rsidRPr="003577E2" w:rsidRDefault="00122C48">
                  <w:pPr>
                    <w:ind w:right="72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Número más probable de Coliformes totales (NMP/g)</w:t>
                  </w:r>
                </w:p>
              </w:tc>
              <w:tc>
                <w:tcPr>
                  <w:tcW w:w="2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B972E0" w14:textId="77777777" w:rsidR="00122C48" w:rsidRPr="003577E2" w:rsidRDefault="00122C48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110</w:t>
                  </w:r>
                </w:p>
              </w:tc>
            </w:tr>
            <w:tr w:rsidR="00122C48" w:rsidRPr="00122C48" w14:paraId="07E14F0B" w14:textId="77777777" w:rsidTr="00122C48">
              <w:trPr>
                <w:trHeight w:val="322"/>
              </w:trPr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034E66" w14:textId="77777777" w:rsidR="00122C48" w:rsidRPr="003577E2" w:rsidRDefault="00122C48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Número más probable de Coliformes fecales (NMP/g)</w:t>
                  </w:r>
                </w:p>
              </w:tc>
              <w:tc>
                <w:tcPr>
                  <w:tcW w:w="2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E36D35" w14:textId="77777777" w:rsidR="00122C48" w:rsidRPr="003577E2" w:rsidRDefault="00122C48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122C48" w:rsidRPr="00122C48" w14:paraId="14CAE718" w14:textId="77777777" w:rsidTr="00122C48"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A202BB" w14:textId="77777777" w:rsidR="00122C48" w:rsidRPr="003577E2" w:rsidRDefault="00122C48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</w:t>
                  </w:r>
                  <w:proofErr w:type="spellStart"/>
                  <w:r w:rsidRPr="003577E2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3577E2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3577E2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3577E2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 xml:space="preserve"> coagulasa</w:t>
                  </w:r>
                  <w:r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positiva (UFC/g)</w:t>
                  </w:r>
                </w:p>
              </w:tc>
              <w:tc>
                <w:tcPr>
                  <w:tcW w:w="2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4FA072" w14:textId="77777777" w:rsidR="00122C48" w:rsidRPr="003577E2" w:rsidRDefault="00122C48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</w:t>
                  </w:r>
                </w:p>
              </w:tc>
            </w:tr>
            <w:tr w:rsidR="00122C48" w:rsidRPr="00122C48" w14:paraId="18DA6331" w14:textId="77777777" w:rsidTr="00122C48"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10479B" w14:textId="77777777" w:rsidR="00122C48" w:rsidRPr="003577E2" w:rsidRDefault="00122C48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Mohos y </w:t>
                  </w:r>
                  <w:r w:rsidR="003577E2"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Levaduras (</w:t>
                  </w:r>
                  <w:r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UFC/g)</w:t>
                  </w:r>
                </w:p>
              </w:tc>
              <w:tc>
                <w:tcPr>
                  <w:tcW w:w="2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97CE83" w14:textId="77777777" w:rsidR="00122C48" w:rsidRPr="003577E2" w:rsidRDefault="00122C48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1000-2000</w:t>
                  </w:r>
                </w:p>
              </w:tc>
            </w:tr>
            <w:tr w:rsidR="00122C48" w:rsidRPr="00122C48" w14:paraId="355F02CE" w14:textId="77777777" w:rsidTr="00122C48">
              <w:trPr>
                <w:trHeight w:val="461"/>
              </w:trPr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1BFBFC" w14:textId="77777777" w:rsidR="00122C48" w:rsidRPr="003577E2" w:rsidRDefault="00122C48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Salmonella en 25 g</w:t>
                  </w:r>
                </w:p>
              </w:tc>
              <w:tc>
                <w:tcPr>
                  <w:tcW w:w="2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9EBA55" w14:textId="77777777" w:rsidR="00122C48" w:rsidRPr="003577E2" w:rsidRDefault="00122C48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77E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Ausente</w:t>
                  </w:r>
                </w:p>
              </w:tc>
            </w:tr>
          </w:tbl>
          <w:p w14:paraId="18FB6DF5" w14:textId="77777777" w:rsidR="00122C48" w:rsidRPr="00122C48" w:rsidRDefault="00122C48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0B610AC" w14:textId="77777777" w:rsidR="00122C48" w:rsidRPr="00122C48" w:rsidRDefault="00122C48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x 100 g:</w:t>
            </w:r>
          </w:p>
          <w:p w14:paraId="63AA4098" w14:textId="77777777" w:rsidR="00122C48" w:rsidRPr="00122C48" w:rsidRDefault="00122C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8"/>
              <w:gridCol w:w="796"/>
              <w:gridCol w:w="608"/>
              <w:gridCol w:w="1175"/>
              <w:gridCol w:w="1015"/>
              <w:gridCol w:w="1120"/>
              <w:gridCol w:w="784"/>
              <w:gridCol w:w="434"/>
            </w:tblGrid>
            <w:tr w:rsidR="00122C48" w:rsidRPr="00122C48" w14:paraId="40E4A402" w14:textId="77777777" w:rsidTr="00E468D3">
              <w:trPr>
                <w:trHeight w:val="300"/>
              </w:trPr>
              <w:tc>
                <w:tcPr>
                  <w:tcW w:w="6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57CE435" w14:textId="77777777" w:rsidR="00122C48" w:rsidRPr="00E468D3" w:rsidRDefault="00122C4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E468D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34B9427" w14:textId="77777777" w:rsidR="00122C48" w:rsidRPr="00E468D3" w:rsidRDefault="00122C4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E468D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</w:t>
                  </w:r>
                  <w:r w:rsidR="004841E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EÍ</w:t>
                  </w:r>
                  <w:r w:rsidRPr="00E468D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4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57F8046" w14:textId="77777777" w:rsidR="00122C48" w:rsidRPr="00E468D3" w:rsidRDefault="00122C4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E468D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768CAAD" w14:textId="77777777" w:rsidR="00122C48" w:rsidRPr="00E468D3" w:rsidRDefault="00122C4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E468D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7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0A345978" w14:textId="77777777" w:rsidR="00122C48" w:rsidRPr="00E468D3" w:rsidRDefault="00122C4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E468D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8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5590592" w14:textId="77777777" w:rsidR="00122C48" w:rsidRPr="00E468D3" w:rsidRDefault="00122C4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E468D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hideMark/>
                </w:tcPr>
                <w:p w14:paraId="133775A1" w14:textId="77777777" w:rsidR="00122C48" w:rsidRPr="00E468D3" w:rsidRDefault="00122C4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E468D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vAlign w:val="center"/>
                  <w:hideMark/>
                </w:tcPr>
                <w:p w14:paraId="51A84ED2" w14:textId="77777777" w:rsidR="00122C48" w:rsidRPr="00E468D3" w:rsidRDefault="00122C48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E468D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E468D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122C48" w:rsidRPr="00122C48" w14:paraId="4F39A362" w14:textId="77777777" w:rsidTr="00122C48">
              <w:trPr>
                <w:trHeight w:val="630"/>
              </w:trPr>
              <w:tc>
                <w:tcPr>
                  <w:tcW w:w="6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74B2C7" w14:textId="77777777" w:rsidR="00122C48" w:rsidRPr="00E468D3" w:rsidRDefault="00122C4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E468D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380 - 500</w:t>
                  </w:r>
                </w:p>
              </w:tc>
              <w:tc>
                <w:tcPr>
                  <w:tcW w:w="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DFB2BCB" w14:textId="77777777" w:rsidR="00122C48" w:rsidRPr="00E468D3" w:rsidRDefault="00122C4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E468D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 7,2</w:t>
                  </w:r>
                </w:p>
              </w:tc>
              <w:tc>
                <w:tcPr>
                  <w:tcW w:w="4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7CC1118" w14:textId="77777777" w:rsidR="00122C48" w:rsidRPr="00E468D3" w:rsidRDefault="00122C4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E468D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18,4</w:t>
                  </w:r>
                </w:p>
              </w:tc>
              <w:tc>
                <w:tcPr>
                  <w:tcW w:w="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AB8936B" w14:textId="77777777" w:rsidR="00122C48" w:rsidRPr="00E468D3" w:rsidRDefault="00122C4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E468D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7</w:t>
                  </w:r>
                </w:p>
              </w:tc>
              <w:tc>
                <w:tcPr>
                  <w:tcW w:w="7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5FC5792" w14:textId="77777777" w:rsidR="00122C48" w:rsidRPr="00E468D3" w:rsidRDefault="00122C4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468D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8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CB864DD" w14:textId="77777777" w:rsidR="00122C48" w:rsidRPr="00E468D3" w:rsidRDefault="00122C4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E468D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73,9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902509E" w14:textId="77777777" w:rsidR="00122C48" w:rsidRPr="00E468D3" w:rsidRDefault="00122C4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E468D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25</w:t>
                  </w:r>
                </w:p>
              </w:tc>
              <w:tc>
                <w:tcPr>
                  <w:tcW w:w="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DBB19C" w14:textId="77777777" w:rsidR="00122C48" w:rsidRPr="00E468D3" w:rsidRDefault="00122C4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E468D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260</w:t>
                  </w:r>
                </w:p>
              </w:tc>
            </w:tr>
          </w:tbl>
          <w:p w14:paraId="713DCE26" w14:textId="77777777" w:rsidR="00122C48" w:rsidRPr="00122C48" w:rsidRDefault="00122C48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B1A890E" w14:textId="77777777" w:rsidR="00122C48" w:rsidRPr="00122C48" w:rsidRDefault="00122C48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408C4A9" w14:textId="77777777" w:rsidR="00122C48" w:rsidRPr="00122C48" w:rsidRDefault="00122C48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468D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122C4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cereales precocidos, semillas y vegetales deshidratados, miel o azúcar en baja proporción.</w:t>
            </w:r>
          </w:p>
          <w:p w14:paraId="0F6D7ADD" w14:textId="77777777" w:rsidR="00122C48" w:rsidRPr="00122C48" w:rsidRDefault="00122C48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60F2050" w14:textId="77777777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468D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Aditivos</w:t>
            </w:r>
            <w:r w:rsidRPr="00122C4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E468D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t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odos los aditivos permitidos por la normatividad sanitaria vigente deberán ser reportados de manera obligatoria con su nombre específico.  </w:t>
            </w:r>
          </w:p>
          <w:p w14:paraId="3D578776" w14:textId="77777777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F49102" w14:textId="77777777" w:rsidR="00122C48" w:rsidRPr="00122C48" w:rsidRDefault="00122C48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468D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122C4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: </w:t>
            </w:r>
            <w:r w:rsidR="00E468D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7E6BDD14" w14:textId="77777777" w:rsidR="00122C48" w:rsidRPr="00122C48" w:rsidRDefault="00122C48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</w:tc>
      </w:tr>
      <w:tr w:rsidR="00122C48" w:rsidRPr="00122C48" w14:paraId="2C81AC64" w14:textId="77777777" w:rsidTr="00F05B41">
        <w:trPr>
          <w:trHeight w:val="4659"/>
        </w:trPr>
        <w:tc>
          <w:tcPr>
            <w:tcW w:w="17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CD3EEA" w14:textId="77777777" w:rsidR="00122C48" w:rsidRPr="00122C48" w:rsidRDefault="00E468D3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22C4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</w:t>
            </w:r>
            <w:r w:rsidR="00122C48" w:rsidRPr="00122C4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 rotulado</w:t>
            </w:r>
          </w:p>
        </w:tc>
        <w:tc>
          <w:tcPr>
            <w:tcW w:w="698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34F0E" w14:textId="77777777" w:rsidR="00122C48" w:rsidRPr="00122C48" w:rsidRDefault="00122C48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468D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</w:t>
            </w:r>
            <w:r w:rsidRPr="00122C4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E468D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 y las demás normas que la modifique</w:t>
            </w:r>
            <w:r w:rsidR="00C3341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o sustituya</w:t>
            </w:r>
            <w:r w:rsidR="00C3341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. El producto debe ser empacado o envasado en empaque flexible, grado alimenticio, inerte, que no genere migraciones de componentes al producto, resistente, </w:t>
            </w:r>
            <w:r w:rsidR="00BB1D5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permeable a los gases y a la humedad, que mantenga las características asépticas, microbiológicas, sensoriales y fisicoquímicas del producto, amigable con el medio ambiente, debe ser resistente al sellado y fundido, deberá ser resistente a la impresión flexográfica y fabricado con materiales amigables con el medio ambiente. El sellado deberá garantizar la integridad aséptica, microbiológica, sensorial y fisicoquímica del producto.</w:t>
            </w:r>
          </w:p>
          <w:p w14:paraId="432CA0D4" w14:textId="77777777" w:rsidR="00122C48" w:rsidRPr="00122C48" w:rsidRDefault="00122C48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222CF91" w14:textId="77777777" w:rsidR="00122C48" w:rsidRPr="00122C48" w:rsidRDefault="00122C48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Rotulado: 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rotulado debe ser impreso en el empaque primario, y debe contener la información establecida en la Resolución 5109 de 2005 y Resolución 333 de 2011 del Ministerio de Protección social, y las demás normas que modifiquen, sustituyan o adicionen la reglamentación mencionada una vez entren en vigencia.</w:t>
            </w:r>
          </w:p>
        </w:tc>
      </w:tr>
      <w:tr w:rsidR="00122C48" w:rsidRPr="00122C48" w14:paraId="4EFCC112" w14:textId="77777777" w:rsidTr="00E468D3">
        <w:trPr>
          <w:trHeight w:val="1065"/>
        </w:trPr>
        <w:tc>
          <w:tcPr>
            <w:tcW w:w="17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BF5372" w14:textId="77777777" w:rsidR="00122C48" w:rsidRPr="00122C48" w:rsidRDefault="00122C48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22C4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98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0EB19" w14:textId="77777777" w:rsidR="00122C48" w:rsidRPr="00122C48" w:rsidRDefault="00122C48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077D7C8" w14:textId="6107A2F1" w:rsidR="00122C48" w:rsidRPr="00122C48" w:rsidRDefault="00122C48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      </w:t>
            </w:r>
            <w:r w:rsidR="006E461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   unidad mínimo x</w:t>
            </w:r>
            <w:r w:rsidR="006E461F"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20g</w:t>
            </w:r>
          </w:p>
          <w:p w14:paraId="609DC1E3" w14:textId="7D02EEFC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          </w:t>
            </w:r>
            <w:r w:rsidR="006E461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unidad mínimo x</w:t>
            </w:r>
            <w:r w:rsidR="006E461F"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40g</w:t>
            </w:r>
          </w:p>
          <w:p w14:paraId="1F23FE14" w14:textId="749727EA" w:rsidR="00122C48" w:rsidRPr="00122C48" w:rsidRDefault="00E468D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    </w:t>
            </w:r>
            <w:r w:rsidR="006E461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</w:t>
            </w:r>
            <w:r w:rsidR="00122C48"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nidad </w:t>
            </w:r>
            <w:r w:rsidR="006E461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="00122C48"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40g</w:t>
            </w:r>
          </w:p>
          <w:p w14:paraId="42D70C39" w14:textId="77777777" w:rsidR="00122C48" w:rsidRPr="00122C48" w:rsidRDefault="00122C4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5187ABA0" w14:textId="77777777" w:rsidR="00122C48" w:rsidRPr="00122C48" w:rsidRDefault="00122C48" w:rsidP="00122C48">
      <w:pPr>
        <w:jc w:val="both"/>
        <w:rPr>
          <w:rFonts w:asciiTheme="minorHAnsi" w:hAnsiTheme="minorHAnsi" w:cstheme="minorHAnsi"/>
          <w:b/>
          <w:color w:val="4E4D4D" w:themeColor="background2"/>
          <w:sz w:val="20"/>
          <w:szCs w:val="20"/>
        </w:rPr>
      </w:pPr>
    </w:p>
    <w:p w14:paraId="5CCFFC07" w14:textId="77777777" w:rsidR="00E468D3" w:rsidRDefault="00E468D3" w:rsidP="00E468D3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1: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 xml:space="preserve">La presente 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32048FC1" w14:textId="77777777" w:rsidR="00E468D3" w:rsidRPr="008E12CB" w:rsidRDefault="00E468D3" w:rsidP="00E468D3">
      <w:pPr>
        <w:jc w:val="both"/>
        <w:rPr>
          <w:rFonts w:ascii="Arial" w:hAnsi="Arial"/>
          <w:color w:val="4E4D4D" w:themeColor="background2"/>
          <w:sz w:val="20"/>
          <w:szCs w:val="20"/>
        </w:rPr>
      </w:pPr>
    </w:p>
    <w:p w14:paraId="740BB893" w14:textId="77777777" w:rsidR="00E468D3" w:rsidRPr="008E12CB" w:rsidRDefault="00E468D3" w:rsidP="00E468D3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  <w:r w:rsidRPr="008E12CB">
        <w:rPr>
          <w:rFonts w:ascii="Arial" w:eastAsia="Calibri" w:hAnsi="Arial" w:cs="Arial"/>
          <w:b/>
          <w:color w:val="4E4D4D" w:themeColor="background2"/>
          <w:sz w:val="20"/>
          <w:szCs w:val="20"/>
          <w:lang w:val="es-CO" w:eastAsia="en-US"/>
        </w:rPr>
        <w:t>NOTA 2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>: Los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00B4DAF7" w14:textId="77777777" w:rsidR="00E468D3" w:rsidRPr="008E12CB" w:rsidRDefault="00E468D3" w:rsidP="00E468D3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</w:p>
    <w:p w14:paraId="3540D713" w14:textId="77777777" w:rsidR="00E468D3" w:rsidRDefault="00E468D3" w:rsidP="00E468D3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3: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>En caso tal que el proveedor adjudicatario, oferte un producto con ingredientes o aditivos adicionales a los mínimos requeridos en la Ficha Técnica; el contratista será quien asumirá los costos adicionales generados por las características agregadas a</w:t>
      </w:r>
      <w:r>
        <w:rPr>
          <w:rFonts w:ascii="Arial" w:hAnsi="Arial" w:cs="Arial"/>
          <w:color w:val="4E4D4D" w:themeColor="background2"/>
          <w:sz w:val="20"/>
          <w:szCs w:val="20"/>
        </w:rPr>
        <w:t>l producto. Es decir, la SED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1387C73A" w14:textId="77777777" w:rsidR="00BB1D54" w:rsidRDefault="00BB1D54" w:rsidP="00E468D3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5AF2BA72" w14:textId="77777777" w:rsidR="00BB1D54" w:rsidRDefault="00BB1D54" w:rsidP="00BB1D54">
      <w:pPr>
        <w:tabs>
          <w:tab w:val="left" w:pos="7740"/>
        </w:tabs>
        <w:jc w:val="both"/>
        <w:rPr>
          <w:rFonts w:ascii="Arial" w:hAnsi="Arial" w:cs="Arial"/>
          <w:color w:val="4D4D4D"/>
          <w:sz w:val="19"/>
          <w:szCs w:val="19"/>
        </w:rPr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entren en vigencia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2CE79CB7" w14:textId="77777777" w:rsidR="00BB1D54" w:rsidRPr="008E12CB" w:rsidRDefault="00BB1D54" w:rsidP="00BB1D54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4C73ECD9" w14:textId="77777777" w:rsidR="00BB1D54" w:rsidRPr="008E12CB" w:rsidRDefault="00BB1D54" w:rsidP="00E468D3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16522EE8" w14:textId="77777777" w:rsidR="00122C48" w:rsidRPr="00122C48" w:rsidRDefault="00122C48" w:rsidP="00122C48">
      <w:pPr>
        <w:tabs>
          <w:tab w:val="left" w:pos="774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69DE273C" w14:textId="77777777" w:rsidR="009A67BC" w:rsidRPr="00122C48" w:rsidRDefault="009A67BC" w:rsidP="00122C48">
      <w:pPr>
        <w:rPr>
          <w:rFonts w:asciiTheme="minorHAnsi" w:hAnsiTheme="minorHAnsi" w:cstheme="minorHAnsi"/>
          <w:sz w:val="20"/>
          <w:szCs w:val="20"/>
        </w:rPr>
      </w:pPr>
    </w:p>
    <w:sectPr w:rsidR="009A67BC" w:rsidRPr="00122C48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2F8E8" w14:textId="77777777" w:rsidR="00204A6C" w:rsidRDefault="00204A6C" w:rsidP="004F2C35">
      <w:r>
        <w:separator/>
      </w:r>
    </w:p>
  </w:endnote>
  <w:endnote w:type="continuationSeparator" w:id="0">
    <w:p w14:paraId="0193E747" w14:textId="77777777" w:rsidR="00204A6C" w:rsidRDefault="00204A6C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4EC9E" w14:textId="77777777" w:rsidR="00C50D27" w:rsidRDefault="00C50D27">
    <w:pPr>
      <w:pStyle w:val="Piedepgina"/>
      <w:jc w:val="right"/>
    </w:pPr>
  </w:p>
  <w:p w14:paraId="7FB63CA4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1CA5A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8C98FE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607E3" w14:textId="77777777" w:rsidR="00204A6C" w:rsidRDefault="00204A6C" w:rsidP="004F2C35">
      <w:r>
        <w:separator/>
      </w:r>
    </w:p>
  </w:footnote>
  <w:footnote w:type="continuationSeparator" w:id="0">
    <w:p w14:paraId="6AF97178" w14:textId="77777777" w:rsidR="00204A6C" w:rsidRDefault="00204A6C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EB7B4" w14:textId="77777777" w:rsidR="006D761F" w:rsidRDefault="006D761F" w:rsidP="006D761F">
    <w:pPr>
      <w:pStyle w:val="Encabezado"/>
      <w:jc w:val="right"/>
      <w:rPr>
        <w:b/>
      </w:rPr>
    </w:pPr>
  </w:p>
  <w:p w14:paraId="2B3A6EC0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1FA8B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E5561B0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C9189D0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C48"/>
    <w:rsid w:val="00027B62"/>
    <w:rsid w:val="00091E6B"/>
    <w:rsid w:val="000D7CD2"/>
    <w:rsid w:val="00122C48"/>
    <w:rsid w:val="0014591D"/>
    <w:rsid w:val="00154ECB"/>
    <w:rsid w:val="00181D75"/>
    <w:rsid w:val="001A1B68"/>
    <w:rsid w:val="001A5E22"/>
    <w:rsid w:val="001B30D6"/>
    <w:rsid w:val="001C6359"/>
    <w:rsid w:val="001C75B3"/>
    <w:rsid w:val="001D32CE"/>
    <w:rsid w:val="001D7612"/>
    <w:rsid w:val="001F7199"/>
    <w:rsid w:val="00204A6C"/>
    <w:rsid w:val="002535A9"/>
    <w:rsid w:val="002C7707"/>
    <w:rsid w:val="00305CEF"/>
    <w:rsid w:val="0034024E"/>
    <w:rsid w:val="003577E2"/>
    <w:rsid w:val="003E173E"/>
    <w:rsid w:val="003E434E"/>
    <w:rsid w:val="003E584A"/>
    <w:rsid w:val="00474EDE"/>
    <w:rsid w:val="004841E9"/>
    <w:rsid w:val="004B1B0F"/>
    <w:rsid w:val="004E2F17"/>
    <w:rsid w:val="004F2C35"/>
    <w:rsid w:val="005225E0"/>
    <w:rsid w:val="0059060F"/>
    <w:rsid w:val="0065617D"/>
    <w:rsid w:val="006A63AE"/>
    <w:rsid w:val="006D761F"/>
    <w:rsid w:val="006E461F"/>
    <w:rsid w:val="007212F3"/>
    <w:rsid w:val="00751787"/>
    <w:rsid w:val="007C0D43"/>
    <w:rsid w:val="007C1BAD"/>
    <w:rsid w:val="008A1A6F"/>
    <w:rsid w:val="008A71EC"/>
    <w:rsid w:val="009A67BC"/>
    <w:rsid w:val="009B26E4"/>
    <w:rsid w:val="00A06874"/>
    <w:rsid w:val="00A31FB7"/>
    <w:rsid w:val="00A34836"/>
    <w:rsid w:val="00B11CD8"/>
    <w:rsid w:val="00B30435"/>
    <w:rsid w:val="00B40BCE"/>
    <w:rsid w:val="00BB1D54"/>
    <w:rsid w:val="00C05532"/>
    <w:rsid w:val="00C2579D"/>
    <w:rsid w:val="00C33416"/>
    <w:rsid w:val="00C50D27"/>
    <w:rsid w:val="00C81483"/>
    <w:rsid w:val="00D67F6F"/>
    <w:rsid w:val="00E468D3"/>
    <w:rsid w:val="00E66CC3"/>
    <w:rsid w:val="00EB47F3"/>
    <w:rsid w:val="00F05B41"/>
    <w:rsid w:val="00F311BA"/>
    <w:rsid w:val="00F532BF"/>
    <w:rsid w:val="00F53DA5"/>
    <w:rsid w:val="00F56D6D"/>
    <w:rsid w:val="00F60309"/>
    <w:rsid w:val="00F7401C"/>
    <w:rsid w:val="00FD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84701B"/>
  <w15:chartTrackingRefBased/>
  <w15:docId w15:val="{33E39CC5-808A-41F5-A631-BAEF32C74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122C48"/>
    <w:rPr>
      <w:sz w:val="24"/>
      <w:lang w:val="es-MX"/>
    </w:rPr>
  </w:style>
  <w:style w:type="paragraph" w:customStyle="1" w:styleId="Default">
    <w:name w:val="Default"/>
    <w:rsid w:val="00122C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D58A4-0625-420C-9C76-54993EA3FE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1C461E-C5FA-4D07-8DA5-BBE49209AE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10B22C-1965-44E5-AFF4-861F4B4E451C}">
  <ds:schemaRefs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7AC18A7-A8B4-4B77-A570-1384287B5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6DD8ED02.dotm</Template>
  <TotalTime>91</TotalTime>
  <Pages>3</Pages>
  <Words>1150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Julián Mauricio Ortegón Fernández</dc:creator>
  <cp:keywords/>
  <dc:description/>
  <cp:lastModifiedBy>Ingrid Natalia Quiroga Fagua</cp:lastModifiedBy>
  <cp:revision>15</cp:revision>
  <cp:lastPrinted>2017-09-28T22:28:00Z</cp:lastPrinted>
  <dcterms:created xsi:type="dcterms:W3CDTF">2018-04-09T19:13:00Z</dcterms:created>
  <dcterms:modified xsi:type="dcterms:W3CDTF">2018-05-23T14:47:00Z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