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tblInd w:w="-176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ook w:val="04A0" w:firstRow="1" w:lastRow="0" w:firstColumn="1" w:lastColumn="0" w:noHBand="0" w:noVBand="1"/>
      </w:tblPr>
      <w:tblGrid>
        <w:gridCol w:w="2678"/>
        <w:gridCol w:w="7340"/>
      </w:tblGrid>
      <w:tr w:rsidR="008944F3" w:rsidRPr="008944F3" w14:paraId="3306AB81" w14:textId="77777777" w:rsidTr="008944F3">
        <w:trPr>
          <w:trHeight w:val="559"/>
        </w:trPr>
        <w:tc>
          <w:tcPr>
            <w:tcW w:w="2678" w:type="dxa"/>
            <w:shd w:val="clear" w:color="auto" w:fill="4E4D4D" w:themeFill="background2"/>
            <w:vAlign w:val="center"/>
          </w:tcPr>
          <w:p w14:paraId="09AAB7FF" w14:textId="77777777" w:rsidR="00057DB7" w:rsidRPr="008944F3" w:rsidRDefault="00057DB7" w:rsidP="008944F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8944F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340" w:type="dxa"/>
            <w:shd w:val="clear" w:color="auto" w:fill="4E4D4D" w:themeFill="background2"/>
            <w:vAlign w:val="center"/>
          </w:tcPr>
          <w:p w14:paraId="75615BAB" w14:textId="6DE4A371" w:rsidR="00057DB7" w:rsidRPr="00F30B04" w:rsidRDefault="00057DB7" w:rsidP="00F30B0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F30B0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</w:t>
            </w:r>
            <w:r w:rsidR="00F30B04" w:rsidRPr="00F30B0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</w:t>
            </w:r>
            <w:r w:rsidRPr="00F30B0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(variedad Isabella)</w:t>
            </w:r>
            <w:r w:rsidR="00F30B04" w:rsidRPr="00F30B04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8944F3" w:rsidRPr="008944F3" w14:paraId="5FF47672" w14:textId="77777777" w:rsidTr="00024702">
        <w:trPr>
          <w:trHeight w:val="1056"/>
        </w:trPr>
        <w:tc>
          <w:tcPr>
            <w:tcW w:w="2678" w:type="dxa"/>
            <w:shd w:val="clear" w:color="auto" w:fill="auto"/>
            <w:vAlign w:val="center"/>
          </w:tcPr>
          <w:p w14:paraId="21EE3B6C" w14:textId="77777777" w:rsidR="00057DB7" w:rsidRPr="008944F3" w:rsidRDefault="00057DB7" w:rsidP="00DC6E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340" w:type="dxa"/>
            <w:shd w:val="clear" w:color="auto" w:fill="auto"/>
          </w:tcPr>
          <w:p w14:paraId="4B6A639E" w14:textId="77777777" w:rsidR="00057DB7" w:rsidRPr="008944F3" w:rsidRDefault="00057DB7" w:rsidP="00DC6E41">
            <w:p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4B7C85E1" w14:textId="77777777" w:rsidR="00057DB7" w:rsidRPr="008944F3" w:rsidRDefault="00057DB7" w:rsidP="00DC6E41">
            <w:p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0328EEA5" w14:textId="77777777" w:rsidR="00057DB7" w:rsidRPr="008944F3" w:rsidRDefault="00057DB7" w:rsidP="00057DB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8944F3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944F3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457E49D" w14:textId="77777777" w:rsidR="00057DB7" w:rsidRPr="008944F3" w:rsidRDefault="00057DB7" w:rsidP="00057DB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2906 de 2007</w:t>
            </w:r>
            <w:r w:rsid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8944F3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944F3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AEA4F7A" w14:textId="77777777" w:rsidR="00057DB7" w:rsidRPr="008944F3" w:rsidRDefault="008944F3" w:rsidP="00057DB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INVIMA f</w:t>
            </w:r>
            <w:r w:rsidR="00057DB7"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rutas y verduras frescas</w:t>
            </w:r>
          </w:p>
          <w:p w14:paraId="19F7D024" w14:textId="77777777" w:rsidR="00057DB7" w:rsidRPr="008944F3" w:rsidRDefault="008944F3" w:rsidP="00057DB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Frutas frescas y h</w:t>
            </w:r>
            <w:r w:rsidR="00057DB7" w:rsidRPr="008944F3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ortalizas generalidades NTC 1291.</w:t>
            </w:r>
          </w:p>
          <w:p w14:paraId="52F8C03B" w14:textId="77777777" w:rsidR="00057DB7" w:rsidRPr="008944F3" w:rsidRDefault="008944F3" w:rsidP="00057DB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Futas f</w:t>
            </w:r>
            <w:r w:rsidR="00057DB7"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rescas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u</w:t>
            </w:r>
            <w:r w:rsidR="00057DB7"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vas de mesa clasificadas NTC 883</w:t>
            </w:r>
          </w:p>
          <w:p w14:paraId="2BF37864" w14:textId="77777777" w:rsidR="00057DB7" w:rsidRPr="008944F3" w:rsidRDefault="00057DB7" w:rsidP="00DC6E41">
            <w:p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365E6FD1" w14:textId="77777777" w:rsidR="00057DB7" w:rsidRPr="008944F3" w:rsidRDefault="00057DB7" w:rsidP="00DC6E41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anteriormente mencionada una vez </w:t>
            </w:r>
            <w:r w:rsidR="008944F3"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entren en vigor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8944F3" w:rsidRPr="008944F3" w14:paraId="39A6C6F8" w14:textId="77777777" w:rsidTr="00024702">
        <w:trPr>
          <w:trHeight w:val="1275"/>
        </w:trPr>
        <w:tc>
          <w:tcPr>
            <w:tcW w:w="2678" w:type="dxa"/>
            <w:shd w:val="clear" w:color="auto" w:fill="auto"/>
            <w:vAlign w:val="center"/>
          </w:tcPr>
          <w:p w14:paraId="4070E53B" w14:textId="77777777" w:rsidR="00057DB7" w:rsidRPr="008944F3" w:rsidRDefault="00057DB7" w:rsidP="00DC6E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340" w:type="dxa"/>
            <w:shd w:val="clear" w:color="auto" w:fill="auto"/>
          </w:tcPr>
          <w:p w14:paraId="4616DEE7" w14:textId="43891555" w:rsidR="00057DB7" w:rsidRPr="008944F3" w:rsidRDefault="004C453B" w:rsidP="008944F3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Las uvas d</w:t>
            </w:r>
            <w:r w:rsidR="00057DB7" w:rsidRPr="008944F3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eben presentarse frescas, limpias y desinfectadas, con un grado madurez tal que les permita soportar su manipulación, transporte y conservación y que reúnan las características sensoriales adecuadas para su consumo inmediato.</w:t>
            </w:r>
          </w:p>
          <w:p w14:paraId="76720EEB" w14:textId="77777777" w:rsidR="00057DB7" w:rsidRPr="008944F3" w:rsidRDefault="00057DB7" w:rsidP="00894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10B346C2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Deben estar enteras, sanas, y exentas de podredumbre o deterioro que hagan que no sean aptas para el consumo.</w:t>
            </w:r>
          </w:p>
          <w:p w14:paraId="48AE3DD8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5F87583D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Las frutas deberán ser de la misma variedad. </w:t>
            </w:r>
          </w:p>
          <w:p w14:paraId="27A64AD3" w14:textId="77777777" w:rsidR="004C453B" w:rsidRDefault="004C453B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4FA03A21" w14:textId="774442BC" w:rsidR="00057DB7" w:rsidRPr="008944F3" w:rsidRDefault="004C453B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</w:t>
            </w:r>
            <w:r w:rsidR="00057DB7"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xentas de cualquier materia extraña visible (tierra, polvo, agroquímicos y cuerpos extraños).</w:t>
            </w:r>
          </w:p>
          <w:p w14:paraId="50E2F19C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2D5BBD8C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Estar exentas de plagas y daños causados por las mismas.</w:t>
            </w:r>
          </w:p>
          <w:p w14:paraId="33836F77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5457E645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Exentas de humedad externa anormal.</w:t>
            </w:r>
          </w:p>
          <w:p w14:paraId="4B29CE31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1DD80193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Color característico para grado de fruta madura, con consistencia firme. </w:t>
            </w:r>
          </w:p>
          <w:p w14:paraId="02C11ABB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452B1F7F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Estar exentas de manchas oscuras internas.</w:t>
            </w:r>
          </w:p>
          <w:p w14:paraId="22642162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766179B3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Debe tener tamaño uniforme aproximadamente, sin presencia de daños mecánicos o golpes (sin magulladuras).</w:t>
            </w:r>
          </w:p>
          <w:p w14:paraId="1486C4B6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11353730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4192E156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3ADB8339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Se excluyen los frutos que presenten piel opaca, arrugada o con manchas.</w:t>
            </w:r>
          </w:p>
          <w:p w14:paraId="1245F987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21825F06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No se permite la inclusión de frutas en estado verde o pintón o </w:t>
            </w:r>
            <w:proofErr w:type="spellStart"/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sobremaduro</w:t>
            </w:r>
            <w:proofErr w:type="spellEnd"/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. </w:t>
            </w:r>
          </w:p>
          <w:p w14:paraId="21843EC0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69680FDC" w14:textId="77777777" w:rsidR="00057DB7" w:rsidRPr="008944F3" w:rsidRDefault="00057DB7" w:rsidP="008944F3">
            <w:pPr>
              <w:pStyle w:val="Vieta"/>
              <w:tabs>
                <w:tab w:val="clear" w:pos="720"/>
              </w:tabs>
              <w:ind w:left="0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ES"/>
              </w:rPr>
            </w:pPr>
            <w:r w:rsidRPr="008944F3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58354908" w14:textId="77777777" w:rsidR="00057DB7" w:rsidRPr="008944F3" w:rsidRDefault="00057DB7" w:rsidP="00894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menurojobl"/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0F3F9725" w14:textId="77777777" w:rsidR="00057DB7" w:rsidRPr="008944F3" w:rsidRDefault="00057DB7" w:rsidP="00894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ontenido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8944F3">
              <w:rPr>
                <w:rStyle w:val="submenurojobl"/>
                <w:rFonts w:ascii="Arial" w:hAnsi="Arial" w:cs="Arial"/>
                <w:b/>
                <w:color w:val="4E4D4D" w:themeColor="background2"/>
                <w:sz w:val="20"/>
                <w:szCs w:val="20"/>
                <w:shd w:val="clear" w:color="auto" w:fill="FFFFFF"/>
              </w:rPr>
              <w:t>Color:</w:t>
            </w:r>
            <w:r w:rsidRPr="008944F3">
              <w:rPr>
                <w:rStyle w:val="apple-converted-space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  <w:t> l</w:t>
            </w:r>
            <w:r w:rsidRPr="008944F3">
              <w:rPr>
                <w:rStyle w:val="contenido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  <w:t>a piel es purpura, pulpa incolora y con semillas en su interior</w:t>
            </w:r>
          </w:p>
          <w:p w14:paraId="159614C0" w14:textId="77777777" w:rsidR="00057DB7" w:rsidRPr="008944F3" w:rsidRDefault="00057DB7" w:rsidP="008944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br/>
            </w:r>
            <w:r w:rsidRPr="008944F3">
              <w:rPr>
                <w:rStyle w:val="submenurojobl"/>
                <w:rFonts w:ascii="Arial" w:hAnsi="Arial" w:cs="Arial"/>
                <w:b/>
                <w:color w:val="4E4D4D" w:themeColor="background2"/>
                <w:sz w:val="20"/>
                <w:szCs w:val="20"/>
                <w:shd w:val="clear" w:color="auto" w:fill="FFFFFF"/>
              </w:rPr>
              <w:t>Sabor:</w:t>
            </w:r>
            <w:r w:rsidRPr="008944F3">
              <w:rPr>
                <w:rStyle w:val="apple-converted-space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 w:rsidRPr="008944F3">
              <w:rPr>
                <w:rStyle w:val="contenido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  <w:t>tiene una pulpa jugosa y dulce.</w:t>
            </w:r>
          </w:p>
        </w:tc>
      </w:tr>
      <w:tr w:rsidR="008944F3" w:rsidRPr="008944F3" w14:paraId="0DF8692C" w14:textId="77777777" w:rsidTr="00024702">
        <w:trPr>
          <w:trHeight w:val="274"/>
        </w:trPr>
        <w:tc>
          <w:tcPr>
            <w:tcW w:w="2678" w:type="dxa"/>
            <w:shd w:val="clear" w:color="auto" w:fill="auto"/>
            <w:vAlign w:val="center"/>
          </w:tcPr>
          <w:p w14:paraId="4E2BDAEE" w14:textId="77777777" w:rsidR="00057DB7" w:rsidRPr="008944F3" w:rsidRDefault="008944F3" w:rsidP="00DC6E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Requisitos g</w:t>
            </w:r>
            <w:r w:rsidR="00057DB7"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7340" w:type="dxa"/>
            <w:shd w:val="clear" w:color="auto" w:fill="auto"/>
          </w:tcPr>
          <w:p w14:paraId="037AB734" w14:textId="77777777" w:rsidR="00057DB7" w:rsidRPr="008944F3" w:rsidRDefault="00057DB7" w:rsidP="00DC6E41">
            <w:pPr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15D2F818" w14:textId="77777777" w:rsidR="00057DB7" w:rsidRPr="008944F3" w:rsidRDefault="00057DB7" w:rsidP="00DC6E41">
            <w:pPr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59847F05" w14:textId="77777777" w:rsidR="00057DB7" w:rsidRPr="008944F3" w:rsidRDefault="00057DB7" w:rsidP="00DC6E41">
            <w:pPr>
              <w:spacing w:line="240" w:lineRule="auto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: e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ste producto debe conservarse a temperatura ambiente, en canastillas plásticas y sobre estibas totalmente limpias y en buen estado, en un lugar fresco alejado de focos de contaminación, olores fuertes, libre de plagas, dando cumplimiento a la Resolución 2674 de 2013</w:t>
            </w:r>
            <w:r w:rsid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8944F3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  <w:p w14:paraId="4B09B589" w14:textId="77777777" w:rsidR="00057DB7" w:rsidRPr="008944F3" w:rsidRDefault="00057DB7" w:rsidP="00DC6E41">
            <w:pPr>
              <w:spacing w:line="240" w:lineRule="auto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: </w:t>
            </w:r>
            <w:r w:rsid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8944F3"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higiénico-sanitarias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8944F3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4E8636FD" w14:textId="77777777" w:rsidR="00057DB7" w:rsidRPr="008944F3" w:rsidRDefault="00057DB7" w:rsidP="00DC6E41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:</w:t>
            </w:r>
            <w:r w:rsid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s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</w:t>
            </w:r>
            <w:r w:rsidR="008944F3"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higiénico-sanitarias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para evitar contaminaciones.  Lo anterior dando cumplimiento a la Resolución 2674 de 2013</w:t>
            </w:r>
            <w:r w:rsid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8944F3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8944F3" w:rsidRPr="008944F3" w14:paraId="4E3F997D" w14:textId="77777777" w:rsidTr="00024702">
        <w:trPr>
          <w:trHeight w:val="761"/>
        </w:trPr>
        <w:tc>
          <w:tcPr>
            <w:tcW w:w="2678" w:type="dxa"/>
            <w:shd w:val="clear" w:color="auto" w:fill="auto"/>
            <w:vAlign w:val="center"/>
          </w:tcPr>
          <w:p w14:paraId="0DE7679F" w14:textId="77777777" w:rsidR="00057DB7" w:rsidRPr="008944F3" w:rsidRDefault="00057DB7" w:rsidP="00DC6E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7340" w:type="dxa"/>
            <w:shd w:val="clear" w:color="auto" w:fill="auto"/>
          </w:tcPr>
          <w:p w14:paraId="017EFFCE" w14:textId="77777777" w:rsidR="00057DB7" w:rsidRPr="008944F3" w:rsidRDefault="00057DB7" w:rsidP="00DC6E41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0028286E" w14:textId="77777777" w:rsidR="00057DB7" w:rsidRPr="008944F3" w:rsidRDefault="00057DB7" w:rsidP="00DC6E41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4"/>
              <w:gridCol w:w="3555"/>
            </w:tblGrid>
            <w:tr w:rsidR="008944F3" w:rsidRPr="008944F3" w14:paraId="3C000B51" w14:textId="77777777" w:rsidTr="008944F3">
              <w:tc>
                <w:tcPr>
                  <w:tcW w:w="3554" w:type="dxa"/>
                  <w:shd w:val="clear" w:color="auto" w:fill="B9B7B7" w:themeFill="accent3" w:themeFillShade="E6"/>
                </w:tcPr>
                <w:p w14:paraId="1FA3A5FB" w14:textId="77777777" w:rsidR="00057DB7" w:rsidRPr="008944F3" w:rsidRDefault="00057DB7" w:rsidP="00DC6E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944F3"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555" w:type="dxa"/>
                  <w:shd w:val="clear" w:color="auto" w:fill="B9B7B7" w:themeFill="accent3" w:themeFillShade="E6"/>
                </w:tcPr>
                <w:p w14:paraId="64235EFD" w14:textId="77777777" w:rsidR="00057DB7" w:rsidRPr="008944F3" w:rsidRDefault="00057DB7" w:rsidP="00DC6E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944F3"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057DB7" w:rsidRPr="008944F3" w14:paraId="5F972730" w14:textId="77777777" w:rsidTr="00DC6E41">
              <w:tc>
                <w:tcPr>
                  <w:tcW w:w="3554" w:type="dxa"/>
                  <w:shd w:val="clear" w:color="auto" w:fill="auto"/>
                </w:tcPr>
                <w:p w14:paraId="68BF027B" w14:textId="77777777" w:rsidR="00057DB7" w:rsidRPr="008944F3" w:rsidRDefault="00057DB7" w:rsidP="00DC6E41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8944F3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8944F3">
                    <w:rPr>
                      <w:rFonts w:ascii="Arial" w:hAnsi="Arial" w:cs="Arial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555" w:type="dxa"/>
                  <w:shd w:val="clear" w:color="auto" w:fill="auto"/>
                </w:tcPr>
                <w:p w14:paraId="02CF23A5" w14:textId="77777777" w:rsidR="00057DB7" w:rsidRPr="008944F3" w:rsidRDefault="00057DB7" w:rsidP="00DC6E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8944F3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44C749C3" w14:textId="77777777" w:rsidR="00057DB7" w:rsidRPr="008944F3" w:rsidRDefault="00057DB7" w:rsidP="00DC6E41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2C6588D8" w14:textId="77777777" w:rsidR="00057DB7" w:rsidRPr="008944F3" w:rsidRDefault="00057DB7" w:rsidP="00DC6E41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</w:t>
            </w:r>
            <w:r w:rsidR="008944F3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8944F3">
              <w:rPr>
                <w:rFonts w:ascii="Arial" w:hAnsi="Arial" w:cs="Arial"/>
                <w:color w:val="4C4C4C"/>
                <w:sz w:val="20"/>
                <w:szCs w:val="20"/>
              </w:rPr>
              <w:t xml:space="preserve"> y las</w:t>
            </w:r>
            <w:r w:rsidR="008944F3"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normas que la modifiquen o sustituyan.</w:t>
            </w:r>
          </w:p>
        </w:tc>
      </w:tr>
      <w:tr w:rsidR="008944F3" w:rsidRPr="008944F3" w14:paraId="3BA592D8" w14:textId="77777777" w:rsidTr="008944F3">
        <w:trPr>
          <w:trHeight w:val="1200"/>
        </w:trPr>
        <w:tc>
          <w:tcPr>
            <w:tcW w:w="2678" w:type="dxa"/>
            <w:shd w:val="clear" w:color="auto" w:fill="auto"/>
            <w:vAlign w:val="center"/>
          </w:tcPr>
          <w:p w14:paraId="78F03423" w14:textId="77777777" w:rsidR="00057DB7" w:rsidRPr="008944F3" w:rsidRDefault="00057DB7" w:rsidP="00DC6E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7340" w:type="dxa"/>
            <w:shd w:val="clear" w:color="auto" w:fill="auto"/>
          </w:tcPr>
          <w:p w14:paraId="320D19DA" w14:textId="77777777" w:rsidR="00057DB7" w:rsidRPr="008944F3" w:rsidRDefault="00057DB7" w:rsidP="00DC6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Producto será empacado por porciones en bolsas de polietileno de baja densidad con </w:t>
            </w:r>
            <w:proofErr w:type="spellStart"/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microperforaciones</w:t>
            </w:r>
            <w:proofErr w:type="spellEnd"/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,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8944F3" w:rsidRPr="008944F3" w14:paraId="28ADBE87" w14:textId="77777777" w:rsidTr="00024702">
        <w:trPr>
          <w:trHeight w:val="528"/>
        </w:trPr>
        <w:tc>
          <w:tcPr>
            <w:tcW w:w="2678" w:type="dxa"/>
            <w:shd w:val="clear" w:color="auto" w:fill="auto"/>
            <w:vAlign w:val="center"/>
          </w:tcPr>
          <w:p w14:paraId="59FF295B" w14:textId="77777777" w:rsidR="00057DB7" w:rsidRPr="008944F3" w:rsidRDefault="00057DB7" w:rsidP="00DC6E4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944F3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340" w:type="dxa"/>
            <w:shd w:val="clear" w:color="auto" w:fill="auto"/>
          </w:tcPr>
          <w:p w14:paraId="2CE26D70" w14:textId="77777777" w:rsidR="00057DB7" w:rsidRPr="008944F3" w:rsidRDefault="00057DB7" w:rsidP="00DC6E41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058D3250" w14:textId="54612417" w:rsidR="00057DB7" w:rsidRPr="008944F3" w:rsidRDefault="00057DB7" w:rsidP="00DC6E41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vertAlign w:val="superscript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A                Bolsa</w:t>
            </w:r>
            <w:r w:rsidR="00523CF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523CF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="0026235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x 100 g</w:t>
            </w:r>
          </w:p>
          <w:p w14:paraId="14CFEBA0" w14:textId="5A9D83AC" w:rsidR="00057DB7" w:rsidRPr="008944F3" w:rsidRDefault="00057DB7" w:rsidP="00DC6E41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vertAlign w:val="superscript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Refrigerio Tipo B                Bolsa </w:t>
            </w:r>
            <w:r w:rsidR="00523CF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x 100 g</w:t>
            </w:r>
          </w:p>
          <w:p w14:paraId="078F1452" w14:textId="7685EB60" w:rsidR="00057DB7" w:rsidRPr="008944F3" w:rsidRDefault="00057DB7" w:rsidP="00DC6E41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Refrigerio Tipo C y N         Bolsa </w:t>
            </w:r>
            <w:r w:rsidR="00523CF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8944F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x 100 g</w:t>
            </w:r>
          </w:p>
          <w:p w14:paraId="170B544D" w14:textId="77777777" w:rsidR="00057DB7" w:rsidRPr="008944F3" w:rsidRDefault="00057DB7" w:rsidP="00DC6E41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</w:tc>
      </w:tr>
    </w:tbl>
    <w:p w14:paraId="2C730F7F" w14:textId="77777777" w:rsidR="00057DB7" w:rsidRDefault="00057DB7" w:rsidP="00057DB7">
      <w:pPr>
        <w:spacing w:line="240" w:lineRule="auto"/>
        <w:rPr>
          <w:rFonts w:ascii="Arial" w:hAnsi="Arial" w:cs="Arial"/>
        </w:rPr>
      </w:pPr>
    </w:p>
    <w:p w14:paraId="6C63B331" w14:textId="274C4526" w:rsidR="00057DB7" w:rsidRPr="00077E56" w:rsidRDefault="008944F3" w:rsidP="00D565D9">
      <w:pPr>
        <w:jc w:val="both"/>
        <w:rPr>
          <w:rFonts w:ascii="Arial" w:hAnsi="Arial" w:cs="Arial"/>
          <w:lang w:val="es-CO"/>
        </w:rPr>
      </w:pPr>
      <w:r w:rsidRPr="00A12751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 w:rsidRPr="00A12751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A12751">
        <w:rPr>
          <w:rFonts w:ascii="Arial" w:hAnsi="Arial" w:cs="Arial"/>
          <w:color w:val="4E4D4D" w:themeColor="background2"/>
          <w:sz w:val="20"/>
          <w:szCs w:val="20"/>
          <w:lang w:val="es-CO"/>
        </w:rPr>
        <w:t>La presente Ficha Técnica describe las características mínimas que deberá cumplir el producto, garantizando los requisitos mínimos establecidos por la Entidad.</w:t>
      </w:r>
    </w:p>
    <w:p w14:paraId="47DE4F1E" w14:textId="77777777" w:rsidR="009A67BC" w:rsidRPr="00057DB7" w:rsidRDefault="009A67BC" w:rsidP="00057DB7">
      <w:pPr>
        <w:rPr>
          <w:lang w:val="es-CO"/>
        </w:rPr>
      </w:pPr>
    </w:p>
    <w:sectPr w:rsidR="009A67BC" w:rsidRPr="00057DB7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ED627" w14:textId="77777777" w:rsidR="003F6740" w:rsidRDefault="003F6740" w:rsidP="004F2C35">
      <w:r>
        <w:separator/>
      </w:r>
    </w:p>
  </w:endnote>
  <w:endnote w:type="continuationSeparator" w:id="0">
    <w:p w14:paraId="3F19F5D4" w14:textId="77777777" w:rsidR="003F6740" w:rsidRDefault="003F6740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F2703" w14:textId="77777777" w:rsidR="00C50D27" w:rsidRDefault="00C50D27">
    <w:pPr>
      <w:pStyle w:val="Piedepgina"/>
      <w:jc w:val="right"/>
    </w:pPr>
  </w:p>
  <w:p w14:paraId="3A585B4F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7637D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52F2DBE5" wp14:editId="49EABAB4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D06D4F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D09756A" wp14:editId="7EEA3E2B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98F2B" w14:textId="77777777" w:rsidR="003F6740" w:rsidRDefault="003F6740" w:rsidP="004F2C35">
      <w:r>
        <w:separator/>
      </w:r>
    </w:p>
  </w:footnote>
  <w:footnote w:type="continuationSeparator" w:id="0">
    <w:p w14:paraId="6089BAE6" w14:textId="77777777" w:rsidR="003F6740" w:rsidRDefault="003F6740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9FB83" w14:textId="77777777" w:rsidR="006D761F" w:rsidRDefault="006D761F" w:rsidP="006D761F">
    <w:pPr>
      <w:pStyle w:val="Encabezado"/>
      <w:jc w:val="right"/>
      <w:rPr>
        <w:b/>
      </w:rPr>
    </w:pPr>
  </w:p>
  <w:p w14:paraId="4A12AEB3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56A83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D74951C" wp14:editId="1C891B8E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CE3D5CB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3B8D9B0C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B7"/>
    <w:rsid w:val="00024702"/>
    <w:rsid w:val="00057DB7"/>
    <w:rsid w:val="00064BF1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26235D"/>
    <w:rsid w:val="00305CEF"/>
    <w:rsid w:val="0034024E"/>
    <w:rsid w:val="003E173E"/>
    <w:rsid w:val="003F6740"/>
    <w:rsid w:val="00474EDE"/>
    <w:rsid w:val="004B1B0F"/>
    <w:rsid w:val="004C453B"/>
    <w:rsid w:val="004D707C"/>
    <w:rsid w:val="004F2C35"/>
    <w:rsid w:val="00507DE9"/>
    <w:rsid w:val="005225E0"/>
    <w:rsid w:val="00523CFD"/>
    <w:rsid w:val="0059060F"/>
    <w:rsid w:val="0065617D"/>
    <w:rsid w:val="006A63AE"/>
    <w:rsid w:val="006D761F"/>
    <w:rsid w:val="007212F3"/>
    <w:rsid w:val="00724E31"/>
    <w:rsid w:val="00751787"/>
    <w:rsid w:val="007C1BAD"/>
    <w:rsid w:val="008944F3"/>
    <w:rsid w:val="008A1A6F"/>
    <w:rsid w:val="008A71EC"/>
    <w:rsid w:val="009A67BC"/>
    <w:rsid w:val="009B26E4"/>
    <w:rsid w:val="00A06874"/>
    <w:rsid w:val="00A34836"/>
    <w:rsid w:val="00AB53EA"/>
    <w:rsid w:val="00B11CD8"/>
    <w:rsid w:val="00B30435"/>
    <w:rsid w:val="00C20D00"/>
    <w:rsid w:val="00C2579D"/>
    <w:rsid w:val="00C50D27"/>
    <w:rsid w:val="00C81483"/>
    <w:rsid w:val="00D565D9"/>
    <w:rsid w:val="00D67F6F"/>
    <w:rsid w:val="00E66CC3"/>
    <w:rsid w:val="00EB47F3"/>
    <w:rsid w:val="00F30B04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76F9A0"/>
  <w15:chartTrackingRefBased/>
  <w15:docId w15:val="{90DAA872-2AE9-4EDA-9288-755984A0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7DB7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apple-converted-space">
    <w:name w:val="apple-converted-space"/>
    <w:basedOn w:val="Fuentedeprrafopredeter"/>
    <w:rsid w:val="00057DB7"/>
  </w:style>
  <w:style w:type="character" w:customStyle="1" w:styleId="submenurojobl">
    <w:name w:val="submenurojobl"/>
    <w:rsid w:val="00057DB7"/>
  </w:style>
  <w:style w:type="character" w:customStyle="1" w:styleId="contenido">
    <w:name w:val="contenido"/>
    <w:rsid w:val="00057DB7"/>
  </w:style>
  <w:style w:type="paragraph" w:customStyle="1" w:styleId="Vieta">
    <w:name w:val="Viñeta"/>
    <w:basedOn w:val="Normal"/>
    <w:rsid w:val="00057DB7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148CF-0781-4DEE-964B-ABE30DFE7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5C4B36-E602-4D89-A7D6-251E397198E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4756A33-9930-4EE3-B38C-27F04769BD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17FED8-8B5D-4206-98B8-189B65B1F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E8F6351C.dotm</Template>
  <TotalTime>14</TotalTime>
  <Pages>2</Pages>
  <Words>680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9</cp:revision>
  <cp:lastPrinted>2017-09-28T22:28:00Z</cp:lastPrinted>
  <dcterms:created xsi:type="dcterms:W3CDTF">2018-04-11T19:58:00Z</dcterms:created>
  <dcterms:modified xsi:type="dcterms:W3CDTF">2018-05-23T14:43:00Z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