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5634C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  <w:bookmarkStart w:id="0" w:name="_GoBack"/>
      <w:bookmarkEnd w:id="0"/>
    </w:p>
    <w:p w14:paraId="6985634D" w14:textId="77777777" w:rsidR="00FB3A2C" w:rsidRPr="000206EB" w:rsidRDefault="00FB3A2C" w:rsidP="00FB3A2C">
      <w:pPr>
        <w:pStyle w:val="Encabezad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2"/>
        <w:gridCol w:w="6281"/>
      </w:tblGrid>
      <w:tr w:rsidR="00E00E35" w:rsidRPr="00E00E35" w14:paraId="69856352" w14:textId="77777777" w:rsidTr="00E00E35">
        <w:trPr>
          <w:trHeight w:val="813"/>
        </w:trPr>
        <w:tc>
          <w:tcPr>
            <w:tcW w:w="249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4E" w14:textId="77777777" w:rsidR="00FB3A2C" w:rsidRPr="00E00E35" w:rsidRDefault="00FB3A2C" w:rsidP="00E00E3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00E3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281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4F" w14:textId="77777777" w:rsidR="00E00E35" w:rsidRPr="00E00E35" w:rsidRDefault="00E00E35" w:rsidP="00E00E3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69856350" w14:textId="77777777" w:rsidR="00E00E35" w:rsidRPr="00E00E35" w:rsidRDefault="00E00E35" w:rsidP="00E00E3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00E3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Galleta multicereal tipo cracker</w:t>
            </w:r>
            <w:r w:rsidR="0066654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  <w:p w14:paraId="69856351" w14:textId="77777777" w:rsidR="00FB3A2C" w:rsidRPr="00E00E35" w:rsidRDefault="00FB3A2C" w:rsidP="00E00E35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E00E35" w:rsidRPr="00E00E35" w14:paraId="6985635D" w14:textId="77777777" w:rsidTr="00E00E35">
        <w:trPr>
          <w:trHeight w:val="813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53" w14:textId="77777777" w:rsidR="00FB3A2C" w:rsidRPr="00E00E35" w:rsidRDefault="00FB3A2C" w:rsidP="004A0720">
            <w:pPr>
              <w:jc w:val="center"/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00E3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2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54" w14:textId="77777777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69856355" w14:textId="77777777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56" w14:textId="77777777" w:rsidR="00E00E35" w:rsidRPr="00F86A1B" w:rsidRDefault="00E00E35" w:rsidP="00E00E35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69856357" w14:textId="77777777" w:rsidR="00E00E35" w:rsidRPr="00F86A1B" w:rsidRDefault="00E00E35" w:rsidP="00E00E35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izcochos</w:t>
            </w:r>
          </w:p>
          <w:p w14:paraId="69856358" w14:textId="77777777" w:rsidR="00E00E35" w:rsidRPr="00F86A1B" w:rsidRDefault="00E00E35" w:rsidP="00E00E35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69856359" w14:textId="77777777" w:rsidR="00E00E35" w:rsidRPr="00F86A1B" w:rsidRDefault="00E00E35" w:rsidP="00E00E35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6985635A" w14:textId="77777777" w:rsidR="00E00E35" w:rsidRPr="00F35128" w:rsidRDefault="00E00E35" w:rsidP="00E00E35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1241. Productos de molinería, g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alletas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6985635B" w14:textId="77777777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5C" w14:textId="77777777" w:rsidR="00FB3A2C" w:rsidRPr="00E00E35" w:rsidRDefault="00FB3A2C" w:rsidP="004A0720">
            <w:pPr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Y demás normas que modifiquen, sustituyan o adicionen la reglamentación mencionada una vez entren en vigencia.</w:t>
            </w:r>
          </w:p>
        </w:tc>
      </w:tr>
      <w:tr w:rsidR="00E00E35" w:rsidRPr="00E00E35" w14:paraId="69856363" w14:textId="77777777" w:rsidTr="00E00E35">
        <w:trPr>
          <w:trHeight w:val="980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5E" w14:textId="77777777" w:rsidR="00FB3A2C" w:rsidRPr="00E00E35" w:rsidRDefault="00FB3A2C" w:rsidP="004A0720">
            <w:pPr>
              <w:jc w:val="center"/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00E3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2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5F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  <w:r w:rsidRPr="00E00E35">
              <w:rPr>
                <w:color w:val="4E4D4D" w:themeColor="background2"/>
                <w:sz w:val="20"/>
                <w:szCs w:val="20"/>
              </w:rPr>
              <w:t xml:space="preserve">Las galletas son alimentos a base de cereales y/o farináceos y/o mezcla de cereales, farináceos, oleaginosas y/o leguminosas elaboradas mediante el horneo apropiado de las figuras formadas del amasado de derivados de trigo u otras farináceas con otros ingredientes aptos para el consumo humano. </w:t>
            </w:r>
          </w:p>
          <w:p w14:paraId="69856360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</w:p>
          <w:p w14:paraId="69856361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  <w:r w:rsidRPr="00E00E35">
              <w:rPr>
                <w:color w:val="4E4D4D" w:themeColor="background2"/>
                <w:sz w:val="20"/>
                <w:szCs w:val="20"/>
              </w:rPr>
              <w:t xml:space="preserve">Las galletas multicereal pueden ser adicionadas con ingredientes tales como: cereales (arroz, maíz, avena, linaza, entre otros) azucares naturales, edulcorantes artificiales permitidos, productos lácteos y sus derivados, frutas, pasta o masa de cacao, grasas, aceites, levaduras o cualquier otro ingrediente apto para el consumo humano. </w:t>
            </w:r>
          </w:p>
          <w:p w14:paraId="69856362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</w:p>
        </w:tc>
      </w:tr>
      <w:tr w:rsidR="00E00E35" w:rsidRPr="00E00E35" w14:paraId="69856378" w14:textId="77777777" w:rsidTr="00E00E35">
        <w:trPr>
          <w:trHeight w:val="996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64" w14:textId="77777777" w:rsidR="00FB3A2C" w:rsidRPr="00E00E35" w:rsidRDefault="00FB3A2C" w:rsidP="004A0720">
            <w:pPr>
              <w:jc w:val="center"/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00E3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2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65" w14:textId="77777777" w:rsidR="00FB3A2C" w:rsidRPr="00E00E35" w:rsidRDefault="00FB3A2C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Producto obtenido mediante el horneado apropiado de una masa (líquida, sólida o semisólida), de consistencia crocante y figuras formadas del amasado de derivados del trigo u otras farináceas con otros ingredientes aptos para el consumo humano. Las galletas tipo multicereal deben tener a menos la mezcla de dos o más cereales.  </w:t>
            </w:r>
          </w:p>
          <w:p w14:paraId="69856366" w14:textId="77777777" w:rsidR="00FB3A2C" w:rsidRPr="00E00E35" w:rsidRDefault="00FB3A2C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67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  <w:r w:rsidRPr="00E00E35">
              <w:rPr>
                <w:color w:val="4E4D4D" w:themeColor="background2"/>
                <w:sz w:val="20"/>
                <w:szCs w:val="20"/>
              </w:rPr>
              <w:t xml:space="preserve">Las galletas deben presentar color, sabor y olor propio a los ingredientes empleados. </w:t>
            </w:r>
          </w:p>
          <w:p w14:paraId="69856368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</w:p>
          <w:p w14:paraId="69856369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  <w:r w:rsidRPr="00E00E35">
              <w:rPr>
                <w:color w:val="4E4D4D" w:themeColor="background2"/>
                <w:sz w:val="20"/>
                <w:szCs w:val="20"/>
              </w:rPr>
              <w:t xml:space="preserve">Las galletas deben estar libres de la presencia de plagas, exentas de humedad exterior anormal, las materias primas e ingredientes empleados deben estar exentas de impurezas, deben estar sanas y deben cumplir con las Buenas Prácticas de Manufactura. </w:t>
            </w:r>
          </w:p>
          <w:p w14:paraId="6985636A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</w:p>
          <w:p w14:paraId="6985636B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  <w:r w:rsidRPr="00E00E35">
              <w:rPr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vigente.</w:t>
            </w:r>
          </w:p>
          <w:p w14:paraId="6985636C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</w:p>
          <w:p w14:paraId="6985636D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  <w:r w:rsidRPr="00E00E35">
              <w:rPr>
                <w:color w:val="4E4D4D" w:themeColor="background2"/>
                <w:sz w:val="20"/>
                <w:szCs w:val="20"/>
              </w:rPr>
              <w:t>No se permite</w:t>
            </w:r>
            <w:r w:rsidR="00E00E35">
              <w:rPr>
                <w:color w:val="4E4D4D" w:themeColor="background2"/>
                <w:sz w:val="20"/>
                <w:szCs w:val="20"/>
              </w:rPr>
              <w:t xml:space="preserve">n productos con daño mecánico. </w:t>
            </w:r>
            <w:r w:rsidRPr="00E00E35">
              <w:rPr>
                <w:color w:val="4E4D4D" w:themeColor="background2"/>
                <w:sz w:val="20"/>
                <w:szCs w:val="20"/>
              </w:rPr>
              <w:t>El producto debe mantener su integridad durante todo el proceso.</w:t>
            </w:r>
          </w:p>
          <w:p w14:paraId="6985636E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</w:rPr>
            </w:pPr>
          </w:p>
          <w:p w14:paraId="69856370" w14:textId="71B3ACD4" w:rsidR="00FB3A2C" w:rsidRPr="00E00E35" w:rsidRDefault="00F57022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  <w:lang w:val="es-ES"/>
              </w:rPr>
            </w:pPr>
            <w:r w:rsidRPr="00F57022">
              <w:rPr>
                <w:color w:val="4E4D4D" w:themeColor="background2"/>
                <w:sz w:val="20"/>
                <w:szCs w:val="20"/>
              </w:rPr>
              <w:t>La forma del producto debe ser rectangular y corresponder al tipo cracker y su contenido de 3 o 4 unidades de galletas por paquete. Las unidades deben mantener un espesor entre ellas aproximado, cumpliendo con el gramaje total establecido.</w:t>
            </w:r>
            <w:r>
              <w:rPr>
                <w:color w:val="4E4D4D" w:themeColor="background2"/>
                <w:sz w:val="20"/>
                <w:szCs w:val="20"/>
              </w:rPr>
              <w:t xml:space="preserve"> </w:t>
            </w:r>
          </w:p>
          <w:p w14:paraId="69856371" w14:textId="77777777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</w:pPr>
            <w:r w:rsidRPr="00E00E3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69856372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73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E00E3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: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Este producto se debe almacenar a temperatura ambiente, en canastillas plásticas y sobre estibas, en un lugar fresco alejado de focos de contaminación, olores fuertes, libre de plagas, dando cumplimiento a la Resolución 2674 de 2013</w:t>
            </w:r>
            <w:r w:rsid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E00E35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69856374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75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E00E3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:</w:t>
            </w:r>
            <w:r w:rsid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l producto se debe almacenar en adecuadas condiciones </w:t>
            </w:r>
            <w:r w:rsidR="00E00E35"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higiénico-sanitarias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, en canastillas plásticas o cajas de cartón corrugado y sobre estibas, a temperatura ambiente, en un espacio acorde a la cantidad de producto a almacenar, dando cumplimiento a la Resolución 2674 de 2013</w:t>
            </w:r>
            <w:r w:rsid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E00E35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69856376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77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E00E3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:</w:t>
            </w:r>
            <w:r w:rsid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s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e debe transportar debidamente embalado en condiciones higiénico sanitarias óptimas a temperatura ambiente. El producto no debe tener ningún tipo de contacto con el piso del vehículo, debe ir en canastillas plásticas o cajas de cartón corrugado y sobre estibas para evitar contaminaciones.  Lo anterior dando cumplimiento a la Resolución 2674 de 2013 </w:t>
            </w:r>
            <w:r w:rsidR="00E00E35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E00E35"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E00E35" w:rsidRPr="00E00E35" w14:paraId="698563C6" w14:textId="77777777" w:rsidTr="00E00E35">
        <w:trPr>
          <w:trHeight w:val="813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79" w14:textId="77777777" w:rsidR="00FB3A2C" w:rsidRPr="00E00E35" w:rsidRDefault="00FB3A2C" w:rsidP="004A0720">
            <w:pPr>
              <w:jc w:val="center"/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00E3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2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7A" w14:textId="77777777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6985637B" w14:textId="77777777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7C" w14:textId="77777777" w:rsidR="00FB3A2C" w:rsidRPr="00F30032" w:rsidRDefault="00FB3A2C" w:rsidP="004A0720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3003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 NTC 1241:</w:t>
            </w:r>
          </w:p>
          <w:p w14:paraId="6985637D" w14:textId="77777777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Ind w:w="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09"/>
              <w:gridCol w:w="1405"/>
              <w:gridCol w:w="1471"/>
            </w:tblGrid>
            <w:tr w:rsidR="00FB3A2C" w:rsidRPr="00F30032" w14:paraId="69856381" w14:textId="77777777" w:rsidTr="00F30032">
              <w:trPr>
                <w:trHeight w:val="318"/>
              </w:trPr>
              <w:tc>
                <w:tcPr>
                  <w:tcW w:w="3209" w:type="dxa"/>
                  <w:shd w:val="clear" w:color="auto" w:fill="B9B7B7" w:themeFill="accent3" w:themeFillShade="E6"/>
                </w:tcPr>
                <w:p w14:paraId="6985637E" w14:textId="77777777" w:rsidR="00FB3A2C" w:rsidRPr="00F30032" w:rsidRDefault="00FB3A2C" w:rsidP="004A0720">
                  <w:pPr>
                    <w:ind w:right="71"/>
                    <w:jc w:val="center"/>
                    <w:rPr>
                      <w:rFonts w:ascii="Arial" w:eastAsia="MS Mincho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b/>
                      <w:color w:val="FFFFFF" w:themeColor="background1"/>
                      <w:sz w:val="16"/>
                      <w:szCs w:val="16"/>
                    </w:rPr>
                    <w:t>Requisitos en 100g de muestra</w:t>
                  </w:r>
                </w:p>
              </w:tc>
              <w:tc>
                <w:tcPr>
                  <w:tcW w:w="1405" w:type="dxa"/>
                  <w:shd w:val="clear" w:color="auto" w:fill="B9B7B7" w:themeFill="accent3" w:themeFillShade="E6"/>
                </w:tcPr>
                <w:p w14:paraId="6985637F" w14:textId="77777777" w:rsidR="00FB3A2C" w:rsidRPr="00F30032" w:rsidRDefault="00FB3A2C" w:rsidP="004A0720">
                  <w:pPr>
                    <w:ind w:right="71"/>
                    <w:jc w:val="center"/>
                    <w:rPr>
                      <w:rFonts w:ascii="Arial" w:eastAsia="MS Mincho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b/>
                      <w:color w:val="FFFFFF" w:themeColor="background1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1471" w:type="dxa"/>
                  <w:shd w:val="clear" w:color="auto" w:fill="B9B7B7" w:themeFill="accent3" w:themeFillShade="E6"/>
                </w:tcPr>
                <w:p w14:paraId="69856380" w14:textId="77777777" w:rsidR="00FB3A2C" w:rsidRPr="00F30032" w:rsidRDefault="00FB3A2C" w:rsidP="004A0720">
                  <w:pPr>
                    <w:ind w:right="71"/>
                    <w:jc w:val="center"/>
                    <w:rPr>
                      <w:rFonts w:ascii="Arial" w:eastAsia="MS Mincho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b/>
                      <w:color w:val="FFFFFF" w:themeColor="background1"/>
                      <w:sz w:val="16"/>
                      <w:szCs w:val="16"/>
                    </w:rPr>
                    <w:t>Máximo</w:t>
                  </w:r>
                </w:p>
              </w:tc>
            </w:tr>
            <w:tr w:rsidR="00FB3A2C" w:rsidRPr="00F30032" w14:paraId="69856385" w14:textId="77777777" w:rsidTr="00F30032">
              <w:trPr>
                <w:trHeight w:val="138"/>
              </w:trPr>
              <w:tc>
                <w:tcPr>
                  <w:tcW w:w="3209" w:type="dxa"/>
                  <w:shd w:val="clear" w:color="auto" w:fill="auto"/>
                </w:tcPr>
                <w:p w14:paraId="69856382" w14:textId="77777777" w:rsidR="00FB3A2C" w:rsidRPr="00F30032" w:rsidRDefault="00FB3A2C" w:rsidP="004A0720">
                  <w:pPr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 xml:space="preserve">pH solución acuosa al 10% </w:t>
                  </w:r>
                </w:p>
              </w:tc>
              <w:tc>
                <w:tcPr>
                  <w:tcW w:w="1405" w:type="dxa"/>
                  <w:shd w:val="clear" w:color="auto" w:fill="auto"/>
                </w:tcPr>
                <w:p w14:paraId="69856383" w14:textId="77777777" w:rsidR="00FB3A2C" w:rsidRPr="00F30032" w:rsidRDefault="00FB3A2C" w:rsidP="004A0720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5.6</w:t>
                  </w:r>
                </w:p>
              </w:tc>
              <w:tc>
                <w:tcPr>
                  <w:tcW w:w="1471" w:type="dxa"/>
                  <w:shd w:val="clear" w:color="auto" w:fill="auto"/>
                </w:tcPr>
                <w:p w14:paraId="69856384" w14:textId="77777777" w:rsidR="00FB3A2C" w:rsidRPr="00F30032" w:rsidRDefault="00FB3A2C" w:rsidP="004A0720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9.5</w:t>
                  </w:r>
                </w:p>
              </w:tc>
            </w:tr>
            <w:tr w:rsidR="00FB3A2C" w:rsidRPr="00F30032" w14:paraId="69856389" w14:textId="77777777" w:rsidTr="00F30032">
              <w:trPr>
                <w:trHeight w:val="260"/>
              </w:trPr>
              <w:tc>
                <w:tcPr>
                  <w:tcW w:w="3209" w:type="dxa"/>
                  <w:shd w:val="clear" w:color="auto" w:fill="auto"/>
                </w:tcPr>
                <w:p w14:paraId="69856386" w14:textId="77777777" w:rsidR="00FB3A2C" w:rsidRPr="00F30032" w:rsidRDefault="00FB3A2C" w:rsidP="004A0720">
                  <w:pPr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Humedad, en %</w:t>
                  </w:r>
                </w:p>
              </w:tc>
              <w:tc>
                <w:tcPr>
                  <w:tcW w:w="1405" w:type="dxa"/>
                  <w:shd w:val="clear" w:color="auto" w:fill="auto"/>
                </w:tcPr>
                <w:p w14:paraId="69856387" w14:textId="77777777" w:rsidR="00FB3A2C" w:rsidRPr="00F30032" w:rsidRDefault="00FB3A2C" w:rsidP="004A0720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71" w:type="dxa"/>
                  <w:shd w:val="clear" w:color="auto" w:fill="auto"/>
                </w:tcPr>
                <w:p w14:paraId="69856388" w14:textId="77777777" w:rsidR="00FB3A2C" w:rsidRPr="00F30032" w:rsidRDefault="00FB3A2C" w:rsidP="004A0720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10.0</w:t>
                  </w:r>
                </w:p>
              </w:tc>
            </w:tr>
          </w:tbl>
          <w:p w14:paraId="6985638A" w14:textId="77777777" w:rsidR="00FB3A2C" w:rsidRPr="00E00E35" w:rsidRDefault="00FB3A2C" w:rsidP="004A0720">
            <w:pPr>
              <w:ind w:right="72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6985638B" w14:textId="77777777" w:rsidR="00FB3A2C" w:rsidRPr="00F30032" w:rsidRDefault="00FB3A2C" w:rsidP="004A0720">
            <w:pPr>
              <w:ind w:right="72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3003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F3003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6985638C" w14:textId="77777777" w:rsidR="00FB3A2C" w:rsidRPr="00E00E35" w:rsidRDefault="00FB3A2C" w:rsidP="004A0720">
            <w:pPr>
              <w:ind w:right="72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FB3A2C" w:rsidRPr="00F30032" w14:paraId="69856390" w14:textId="77777777" w:rsidTr="00F30032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6985638D" w14:textId="77777777" w:rsidR="00FB3A2C" w:rsidRPr="00F30032" w:rsidRDefault="00FB3A2C" w:rsidP="004A0720">
                  <w:pPr>
                    <w:ind w:right="213"/>
                    <w:jc w:val="both"/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6985638E" w14:textId="77777777" w:rsidR="00FB3A2C" w:rsidRPr="00F30032" w:rsidRDefault="00FB3A2C" w:rsidP="004A0720">
                  <w:pPr>
                    <w:ind w:right="213"/>
                    <w:jc w:val="center"/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6985638F" w14:textId="77777777" w:rsidR="00FB3A2C" w:rsidRPr="00F30032" w:rsidRDefault="00FB3A2C" w:rsidP="004A0720">
                  <w:pPr>
                    <w:ind w:right="213"/>
                    <w:jc w:val="both"/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FB3A2C" w:rsidRPr="00F30032" w14:paraId="69856393" w14:textId="77777777" w:rsidTr="00F3003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9856391" w14:textId="77777777" w:rsidR="00FB3A2C" w:rsidRPr="00F30032" w:rsidRDefault="00FB3A2C" w:rsidP="004A0720">
                  <w:pPr>
                    <w:ind w:right="213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69856392" w14:textId="77777777" w:rsidR="00FB3A2C" w:rsidRPr="00F30032" w:rsidRDefault="00FB3A2C" w:rsidP="004A0720">
                  <w:pPr>
                    <w:ind w:right="213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FB3A2C" w:rsidRPr="00F30032" w14:paraId="69856396" w14:textId="77777777" w:rsidTr="00F3003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9856394" w14:textId="77777777" w:rsidR="00FB3A2C" w:rsidRPr="00F30032" w:rsidRDefault="00FB3A2C" w:rsidP="004A0720">
                  <w:pPr>
                    <w:ind w:right="213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69856395" w14:textId="77777777" w:rsidR="00FB3A2C" w:rsidRPr="00F30032" w:rsidRDefault="00FB3A2C" w:rsidP="004A0720">
                  <w:pPr>
                    <w:ind w:right="213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FB3A2C" w:rsidRPr="00F30032" w14:paraId="69856399" w14:textId="77777777" w:rsidTr="00F3003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9856397" w14:textId="77777777" w:rsidR="00FB3A2C" w:rsidRPr="00F30032" w:rsidRDefault="00FB3A2C" w:rsidP="004A0720">
                  <w:pPr>
                    <w:ind w:right="213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69856398" w14:textId="77777777" w:rsidR="00FB3A2C" w:rsidRPr="00F30032" w:rsidRDefault="00FB3A2C" w:rsidP="004A0720">
                  <w:pPr>
                    <w:ind w:right="213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FB3A2C" w:rsidRPr="00F30032" w14:paraId="6985639C" w14:textId="77777777" w:rsidTr="00F3003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985639A" w14:textId="77777777" w:rsidR="00FB3A2C" w:rsidRPr="00F30032" w:rsidRDefault="00FB3A2C" w:rsidP="004A0720">
                  <w:pPr>
                    <w:ind w:right="213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6985639B" w14:textId="77777777" w:rsidR="00FB3A2C" w:rsidRPr="00F30032" w:rsidRDefault="00FB3A2C" w:rsidP="004A0720">
                  <w:pPr>
                    <w:ind w:right="213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FB3A2C" w:rsidRPr="00F30032" w14:paraId="6985639F" w14:textId="77777777" w:rsidTr="00F3003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985639D" w14:textId="77777777" w:rsidR="00FB3A2C" w:rsidRPr="00F30032" w:rsidRDefault="00FB3A2C" w:rsidP="004A0720">
                  <w:pPr>
                    <w:ind w:right="213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 xml:space="preserve">Recuento Staphylococcus aureus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6985639E" w14:textId="77777777" w:rsidR="00FB3A2C" w:rsidRPr="00F30032" w:rsidRDefault="00FB3A2C" w:rsidP="004A0720">
                  <w:pPr>
                    <w:ind w:right="213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FB3A2C" w:rsidRPr="00F30032" w14:paraId="698563A2" w14:textId="77777777" w:rsidTr="00F3003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98563A0" w14:textId="77777777" w:rsidR="00FB3A2C" w:rsidRPr="00F30032" w:rsidRDefault="00FB3A2C" w:rsidP="004A0720">
                  <w:pPr>
                    <w:ind w:right="213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 xml:space="preserve"> Ausencia/Presencia  de Salmonella sp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698563A1" w14:textId="77777777" w:rsidR="00FB3A2C" w:rsidRPr="00F30032" w:rsidRDefault="00FB3A2C" w:rsidP="004A0720">
                  <w:pPr>
                    <w:ind w:right="213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F30032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698563A3" w14:textId="77777777" w:rsidR="00FB3A2C" w:rsidRPr="00E00E35" w:rsidRDefault="00FB3A2C" w:rsidP="004A0720">
            <w:pPr>
              <w:ind w:right="72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698563A4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698563A5" w14:textId="77777777" w:rsidR="00FB3A2C" w:rsidRPr="00F30032" w:rsidRDefault="00FB3A2C" w:rsidP="004A0720">
            <w:pPr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F3003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Contenido máximo de metales pesados:</w:t>
            </w:r>
            <w:r w:rsidR="00F3003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p</w:t>
            </w:r>
            <w:r w:rsidRPr="00F3003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lomo como Pb mg/kg, 02 máximo. </w:t>
            </w:r>
          </w:p>
          <w:p w14:paraId="698563A6" w14:textId="77777777" w:rsidR="00FB3A2C" w:rsidRPr="00F30032" w:rsidRDefault="00FB3A2C" w:rsidP="004A0720">
            <w:pPr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A7" w14:textId="77777777" w:rsidR="00FB3A2C" w:rsidRPr="00F30032" w:rsidRDefault="00FB3A2C" w:rsidP="004A0720">
            <w:pPr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F3003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El Nivel máximo de aflatoxinas debe ser de 10ug/kg (10ppb)</w:t>
            </w:r>
          </w:p>
          <w:p w14:paraId="698563A8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698563A9" w14:textId="77777777" w:rsidR="00FB3A2C" w:rsidRPr="00E00E35" w:rsidRDefault="00FB3A2C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="Century Gothic" w:hAnsi="Century Gothic" w:cs="Century Gothic"/>
                <w:b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Century Gothic" w:hAnsi="Century Gothic" w:cs="Century Gothic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698563AA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9"/>
              <w:gridCol w:w="699"/>
              <w:gridCol w:w="652"/>
              <w:gridCol w:w="860"/>
              <w:gridCol w:w="851"/>
              <w:gridCol w:w="850"/>
              <w:gridCol w:w="709"/>
              <w:gridCol w:w="681"/>
            </w:tblGrid>
            <w:tr w:rsidR="00E00E35" w:rsidRPr="00F30032" w14:paraId="698563B3" w14:textId="77777777" w:rsidTr="00F30032">
              <w:trPr>
                <w:trHeight w:val="300"/>
              </w:trPr>
              <w:tc>
                <w:tcPr>
                  <w:tcW w:w="676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98563AB" w14:textId="77777777" w:rsidR="00FB3A2C" w:rsidRPr="00F30032" w:rsidRDefault="00FB3A2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7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98563AC" w14:textId="77777777" w:rsidR="00FB3A2C" w:rsidRPr="00F30032" w:rsidRDefault="00FB3A2C" w:rsidP="004769AE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47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F3003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532" w:type="pct"/>
                  <w:shd w:val="clear" w:color="auto" w:fill="B9B7B7" w:themeFill="accent3" w:themeFillShade="E6"/>
                  <w:noWrap/>
                  <w:vAlign w:val="center"/>
                </w:tcPr>
                <w:p w14:paraId="698563AD" w14:textId="77777777" w:rsidR="00FB3A2C" w:rsidRPr="00F30032" w:rsidRDefault="00FB3A2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01" w:type="pct"/>
                  <w:shd w:val="clear" w:color="auto" w:fill="B9B7B7" w:themeFill="accent3" w:themeFillShade="E6"/>
                  <w:noWrap/>
                  <w:vAlign w:val="center"/>
                </w:tcPr>
                <w:p w14:paraId="698563AE" w14:textId="77777777" w:rsidR="00FB3A2C" w:rsidRPr="00F30032" w:rsidRDefault="00FB3A2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694" w:type="pct"/>
                  <w:shd w:val="clear" w:color="auto" w:fill="B9B7B7" w:themeFill="accent3" w:themeFillShade="E6"/>
                  <w:noWrap/>
                  <w:vAlign w:val="center"/>
                </w:tcPr>
                <w:p w14:paraId="698563AF" w14:textId="77777777" w:rsidR="00FB3A2C" w:rsidRPr="00F30032" w:rsidRDefault="00FB3A2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93" w:type="pct"/>
                  <w:shd w:val="clear" w:color="auto" w:fill="B9B7B7" w:themeFill="accent3" w:themeFillShade="E6"/>
                </w:tcPr>
                <w:p w14:paraId="698563B0" w14:textId="77777777" w:rsidR="00FB3A2C" w:rsidRPr="00F30032" w:rsidRDefault="00FB3A2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78" w:type="pct"/>
                  <w:shd w:val="clear" w:color="auto" w:fill="B9B7B7" w:themeFill="accent3" w:themeFillShade="E6"/>
                  <w:noWrap/>
                  <w:vAlign w:val="center"/>
                </w:tcPr>
                <w:p w14:paraId="698563B1" w14:textId="77777777" w:rsidR="00FB3A2C" w:rsidRPr="00F30032" w:rsidRDefault="00FB3A2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55" w:type="pct"/>
                  <w:shd w:val="clear" w:color="auto" w:fill="B9B7B7" w:themeFill="accent3" w:themeFillShade="E6"/>
                  <w:vAlign w:val="center"/>
                </w:tcPr>
                <w:p w14:paraId="698563B2" w14:textId="77777777" w:rsidR="00FB3A2C" w:rsidRPr="00F30032" w:rsidRDefault="00FB3A2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F3003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E00E35" w:rsidRPr="00F30032" w14:paraId="698563BC" w14:textId="77777777" w:rsidTr="00F30032">
              <w:trPr>
                <w:trHeight w:val="630"/>
              </w:trPr>
              <w:tc>
                <w:tcPr>
                  <w:tcW w:w="676" w:type="pct"/>
                  <w:shd w:val="clear" w:color="auto" w:fill="auto"/>
                  <w:noWrap/>
                  <w:vAlign w:val="center"/>
                </w:tcPr>
                <w:p w14:paraId="698563B4" w14:textId="77777777" w:rsidR="00FB3A2C" w:rsidRPr="00F30032" w:rsidRDefault="00FB3A2C" w:rsidP="00F3003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410 – 500</w:t>
                  </w:r>
                </w:p>
              </w:tc>
              <w:tc>
                <w:tcPr>
                  <w:tcW w:w="570" w:type="pct"/>
                  <w:shd w:val="clear" w:color="auto" w:fill="auto"/>
                  <w:noWrap/>
                  <w:vAlign w:val="center"/>
                </w:tcPr>
                <w:p w14:paraId="698563B5" w14:textId="77777777" w:rsidR="00FB3A2C" w:rsidRPr="00F30032" w:rsidRDefault="00FB3A2C" w:rsidP="00F3003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6,9</w:t>
                  </w:r>
                </w:p>
              </w:tc>
              <w:tc>
                <w:tcPr>
                  <w:tcW w:w="532" w:type="pct"/>
                  <w:shd w:val="clear" w:color="auto" w:fill="auto"/>
                  <w:noWrap/>
                  <w:vAlign w:val="center"/>
                </w:tcPr>
                <w:p w14:paraId="698563B6" w14:textId="77777777" w:rsidR="00FB3A2C" w:rsidRPr="00F30032" w:rsidRDefault="00FB3A2C" w:rsidP="00F3003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16,5</w:t>
                  </w:r>
                </w:p>
              </w:tc>
              <w:tc>
                <w:tcPr>
                  <w:tcW w:w="701" w:type="pct"/>
                  <w:shd w:val="clear" w:color="auto" w:fill="auto"/>
                  <w:noWrap/>
                  <w:vAlign w:val="center"/>
                </w:tcPr>
                <w:p w14:paraId="698563B7" w14:textId="77777777" w:rsidR="00FB3A2C" w:rsidRPr="00F30032" w:rsidRDefault="00FB3A2C" w:rsidP="00F3003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694" w:type="pct"/>
                  <w:shd w:val="clear" w:color="auto" w:fill="auto"/>
                  <w:noWrap/>
                  <w:vAlign w:val="center"/>
                </w:tcPr>
                <w:p w14:paraId="698563B8" w14:textId="77777777" w:rsidR="00FB3A2C" w:rsidRPr="00F30032" w:rsidRDefault="00FB3A2C" w:rsidP="00F3003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693" w:type="pct"/>
                  <w:vAlign w:val="center"/>
                </w:tcPr>
                <w:p w14:paraId="698563B9" w14:textId="77777777" w:rsidR="00FB3A2C" w:rsidRPr="00F30032" w:rsidRDefault="00FB3A2C" w:rsidP="00F3003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76</w:t>
                  </w:r>
                </w:p>
              </w:tc>
              <w:tc>
                <w:tcPr>
                  <w:tcW w:w="578" w:type="pct"/>
                  <w:shd w:val="clear" w:color="auto" w:fill="auto"/>
                  <w:noWrap/>
                  <w:vAlign w:val="center"/>
                </w:tcPr>
                <w:p w14:paraId="698563BA" w14:textId="77777777" w:rsidR="00FB3A2C" w:rsidRPr="00F30032" w:rsidRDefault="00FB3A2C" w:rsidP="00F3003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20</w:t>
                  </w:r>
                </w:p>
              </w:tc>
              <w:tc>
                <w:tcPr>
                  <w:tcW w:w="555" w:type="pct"/>
                  <w:vAlign w:val="center"/>
                </w:tcPr>
                <w:p w14:paraId="698563BB" w14:textId="77777777" w:rsidR="00FB3A2C" w:rsidRPr="00F30032" w:rsidRDefault="00FB3A2C" w:rsidP="00F3003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003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580</w:t>
                  </w:r>
                </w:p>
              </w:tc>
            </w:tr>
          </w:tbl>
          <w:p w14:paraId="698563BD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698563BE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F3003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F30032"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F3003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h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arina de trigo fortificada, aceite vegetal, azúcar, sal, grasa, cereales (arroz, maíz, avena, linaza, entre otros) empleados en su fabricación.</w:t>
            </w:r>
          </w:p>
          <w:p w14:paraId="698563BF" w14:textId="77777777" w:rsidR="00FB3A2C" w:rsidRPr="00E00E35" w:rsidRDefault="00FB3A2C" w:rsidP="004A0720">
            <w:pPr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C0" w14:textId="4C607CEB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A las galletas se les puede adicionar aditivos tales como saborizantes, emulsificantes, acentuadores de sabor, leudantes, conservantes, humectantes, y antioxidantes autorizados y en las cantidades contempladas por la legislación nacional vigente o por la comisión del </w:t>
            </w:r>
            <w:r w:rsidRPr="00F30032">
              <w:rPr>
                <w:rFonts w:ascii="Arial" w:hAnsi="Arial" w:cs="Arial"/>
                <w:i/>
                <w:color w:val="4E4D4D" w:themeColor="background2"/>
                <w:sz w:val="20"/>
                <w:szCs w:val="20"/>
              </w:rPr>
              <w:t>Codex Alimentarius.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</w:p>
          <w:p w14:paraId="698563C1" w14:textId="77777777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C2" w14:textId="77777777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La harina de trigo debe cumplir con la NTC 267. </w:t>
            </w:r>
          </w:p>
          <w:p w14:paraId="698563C3" w14:textId="77777777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C4" w14:textId="77777777" w:rsidR="00FB3A2C" w:rsidRPr="00E00E35" w:rsidRDefault="00FB3A2C" w:rsidP="004A0720">
            <w:pPr>
              <w:ind w:right="214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F3003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F30032"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F3003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698563C5" w14:textId="77777777" w:rsidR="00FB3A2C" w:rsidRPr="00E00E35" w:rsidRDefault="00FB3A2C" w:rsidP="004A0720">
            <w:pPr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</w:tc>
      </w:tr>
      <w:tr w:rsidR="00E00E35" w:rsidRPr="00E00E35" w14:paraId="698563CE" w14:textId="77777777" w:rsidTr="00E00E35">
        <w:trPr>
          <w:trHeight w:val="796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C7" w14:textId="77777777" w:rsidR="00FB3A2C" w:rsidRPr="00E00E35" w:rsidRDefault="00FB3A2C" w:rsidP="004A0720">
            <w:pPr>
              <w:jc w:val="center"/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00E3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2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C8" w14:textId="2CA50F93" w:rsidR="00FB3A2C" w:rsidRPr="00E00E35" w:rsidRDefault="00F3003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F3003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E</w:t>
            </w:r>
            <w:r w:rsidR="00FB3A2C" w:rsidRPr="00F3003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mpaque primario</w:t>
            </w:r>
            <w:r w:rsidRPr="00F3003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  <w:r w:rsidR="00FB3A2C"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debe cumplir cabalmente con las especificaciones técnicas establecidas en la Resolución 683 de 2012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B3A2C"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287651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im</w:t>
            </w:r>
            <w:r w:rsidR="00FB3A2C"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permeable a gases y a la humedad, que mantenga las características asépticas, microbiológicas, sensoriales y fisicoquímicas del producto, debe ser resistente al sellado y fundido, deberá ser resistente a la impresión </w:t>
            </w:r>
            <w:r w:rsidR="00287651"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flexográfica</w:t>
            </w:r>
            <w:r w:rsidR="00FB3A2C"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. El sellado deberá garantizar la integridad aséptica, microbiológica, sensorial y fisicoquímica del producto.</w:t>
            </w:r>
          </w:p>
          <w:p w14:paraId="698563C9" w14:textId="77777777" w:rsidR="00FB3A2C" w:rsidRPr="00E00E35" w:rsidRDefault="00FB3A2C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CA" w14:textId="77777777" w:rsidR="00FB3A2C" w:rsidRDefault="00FB3A2C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F30032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E00E3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El rotulado, debe contener la información establecida en la Reso</w:t>
            </w:r>
            <w:r w:rsidR="00F3003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lución 5109 de 2005 y 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333 de 2011</w:t>
            </w:r>
            <w:r w:rsidR="00EB0921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si aplica al producto,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F3003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30032"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  <w:p w14:paraId="698563CB" w14:textId="77777777" w:rsidR="00F30032" w:rsidRPr="00E00E35" w:rsidRDefault="00F3003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CC" w14:textId="77777777" w:rsidR="00FB3A2C" w:rsidRPr="00E00E35" w:rsidRDefault="00FB3A2C" w:rsidP="004A0720">
            <w:pPr>
              <w:pStyle w:val="Default"/>
              <w:jc w:val="both"/>
              <w:rPr>
                <w:color w:val="4E4D4D" w:themeColor="background2"/>
                <w:sz w:val="20"/>
                <w:szCs w:val="20"/>
                <w:lang w:val="es-ES"/>
              </w:rPr>
            </w:pPr>
            <w:r w:rsidRPr="00E00E35">
              <w:rPr>
                <w:color w:val="4E4D4D" w:themeColor="background2"/>
                <w:sz w:val="20"/>
                <w:szCs w:val="20"/>
                <w:lang w:val="es-ES"/>
              </w:rPr>
              <w:t xml:space="preserve">Las fechas de fabricación y vencimiento, número de lote, deben estar resaltadas y legibles. </w:t>
            </w:r>
          </w:p>
          <w:p w14:paraId="698563CD" w14:textId="77777777" w:rsidR="00FB3A2C" w:rsidRPr="0051675A" w:rsidRDefault="00FB3A2C" w:rsidP="0051675A">
            <w:pPr>
              <w:pStyle w:val="Default"/>
              <w:jc w:val="both"/>
              <w:rPr>
                <w:color w:val="4E4D4D" w:themeColor="background2"/>
                <w:sz w:val="20"/>
                <w:szCs w:val="20"/>
                <w:lang w:val="es-ES"/>
              </w:rPr>
            </w:pPr>
          </w:p>
        </w:tc>
      </w:tr>
      <w:tr w:rsidR="00E00E35" w:rsidRPr="00E00E35" w14:paraId="698563D5" w14:textId="77777777" w:rsidTr="00E00E35">
        <w:trPr>
          <w:trHeight w:val="1201"/>
        </w:trPr>
        <w:tc>
          <w:tcPr>
            <w:tcW w:w="249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CF" w14:textId="77777777" w:rsidR="00FB3A2C" w:rsidRPr="00E00E35" w:rsidRDefault="00FB3A2C" w:rsidP="004A0720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00E3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2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563D0" w14:textId="77777777" w:rsidR="00FB3A2C" w:rsidRPr="00E00E35" w:rsidRDefault="00FB3A2C" w:rsidP="004A0720">
            <w:pPr>
              <w:tabs>
                <w:tab w:val="left" w:pos="7740"/>
              </w:tabs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98563D1" w14:textId="77777777" w:rsidR="00FB3A2C" w:rsidRPr="00E00E35" w:rsidRDefault="00FB3A2C" w:rsidP="004A0720">
            <w:pPr>
              <w:tabs>
                <w:tab w:val="left" w:pos="7740"/>
              </w:tabs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Refrigerio Tipo A           Mínimo 24 g (paquete de 3 o 4 unidades)</w:t>
            </w:r>
          </w:p>
          <w:p w14:paraId="698563D2" w14:textId="77777777" w:rsidR="00FB3A2C" w:rsidRPr="00E00E35" w:rsidRDefault="00FB3A2C" w:rsidP="004A0720">
            <w:pPr>
              <w:tabs>
                <w:tab w:val="left" w:pos="7740"/>
              </w:tabs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Refrigerio Tipo B           Mínimo 24 g (paquete de 3 o 4 unidades)</w:t>
            </w:r>
          </w:p>
          <w:p w14:paraId="698563D3" w14:textId="77777777" w:rsidR="00FB3A2C" w:rsidRPr="00E00E35" w:rsidRDefault="00FB3A2C" w:rsidP="004A0720">
            <w:pPr>
              <w:tabs>
                <w:tab w:val="left" w:pos="7740"/>
              </w:tabs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E00E3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Refrigerio Tipo C y N     Mínimo 24 g (paquete de 3 o 4 unidades)</w:t>
            </w:r>
          </w:p>
          <w:p w14:paraId="698563D4" w14:textId="77777777" w:rsidR="00FB3A2C" w:rsidRPr="00E00E35" w:rsidRDefault="00FB3A2C" w:rsidP="004A0720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</w:tc>
      </w:tr>
    </w:tbl>
    <w:p w14:paraId="698563D6" w14:textId="77777777" w:rsidR="00FB3A2C" w:rsidRPr="000206EB" w:rsidRDefault="00FB3A2C" w:rsidP="00FB3A2C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698563D7" w14:textId="77777777" w:rsidR="00F30032" w:rsidRDefault="00F30032" w:rsidP="00F30032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698563D8" w14:textId="77777777" w:rsidR="00F30032" w:rsidRDefault="00F30032" w:rsidP="00F30032">
      <w:pPr>
        <w:jc w:val="both"/>
        <w:rPr>
          <w:rFonts w:ascii="Arial" w:hAnsi="Arial" w:cs="Arial"/>
        </w:rPr>
      </w:pPr>
    </w:p>
    <w:p w14:paraId="698563D9" w14:textId="77777777" w:rsidR="00F30032" w:rsidRDefault="00F30032" w:rsidP="00F30032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698563DA" w14:textId="77777777" w:rsidR="00F30032" w:rsidRDefault="00F30032" w:rsidP="00F30032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698563DB" w14:textId="77777777" w:rsidR="00F30032" w:rsidRDefault="00F30032" w:rsidP="00F30032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698563DC" w14:textId="77777777" w:rsidR="00F30032" w:rsidRDefault="00F30032" w:rsidP="00F30032">
      <w:pPr>
        <w:tabs>
          <w:tab w:val="left" w:pos="7740"/>
        </w:tabs>
        <w:jc w:val="both"/>
        <w:rPr>
          <w:rFonts w:ascii="Arial" w:hAnsi="Arial" w:cs="Arial"/>
        </w:rPr>
      </w:pPr>
    </w:p>
    <w:p w14:paraId="698563DD" w14:textId="77777777" w:rsidR="00F30032" w:rsidRPr="00BF36BF" w:rsidRDefault="00F30032" w:rsidP="00F30032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698563DE" w14:textId="77777777" w:rsidR="00FB3A2C" w:rsidRPr="00EF7079" w:rsidRDefault="00FB3A2C" w:rsidP="00FB3A2C">
      <w:pPr>
        <w:tabs>
          <w:tab w:val="left" w:pos="7740"/>
        </w:tabs>
        <w:jc w:val="right"/>
        <w:rPr>
          <w:rFonts w:ascii="Arial" w:hAnsi="Arial" w:cs="Arial"/>
          <w:sz w:val="22"/>
          <w:szCs w:val="22"/>
        </w:rPr>
      </w:pPr>
    </w:p>
    <w:p w14:paraId="698563DF" w14:textId="77777777" w:rsidR="009A67BC" w:rsidRDefault="009A67BC" w:rsidP="00C81483">
      <w:pPr>
        <w:jc w:val="center"/>
        <w:rPr>
          <w:color w:val="4E4D4D" w:themeColor="background2"/>
        </w:rPr>
      </w:pPr>
    </w:p>
    <w:sectPr w:rsidR="009A67B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563E2" w14:textId="77777777" w:rsidR="00963819" w:rsidRDefault="00963819" w:rsidP="004F2C35">
      <w:r>
        <w:separator/>
      </w:r>
    </w:p>
  </w:endnote>
  <w:endnote w:type="continuationSeparator" w:id="0">
    <w:p w14:paraId="698563E3" w14:textId="77777777" w:rsidR="00963819" w:rsidRDefault="00963819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563E6" w14:textId="77777777" w:rsidR="00C50D27" w:rsidRDefault="00C50D27">
    <w:pPr>
      <w:pStyle w:val="Piedepgina"/>
      <w:jc w:val="right"/>
    </w:pPr>
  </w:p>
  <w:p w14:paraId="698563E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563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698563EF" wp14:editId="698563F0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8563EC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698563F1" wp14:editId="698563F2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563E0" w14:textId="77777777" w:rsidR="00963819" w:rsidRDefault="00963819" w:rsidP="004F2C35">
      <w:r>
        <w:separator/>
      </w:r>
    </w:p>
  </w:footnote>
  <w:footnote w:type="continuationSeparator" w:id="0">
    <w:p w14:paraId="698563E1" w14:textId="77777777" w:rsidR="00963819" w:rsidRDefault="00963819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563E4" w14:textId="77777777" w:rsidR="006D761F" w:rsidRDefault="006D761F" w:rsidP="006D761F">
    <w:pPr>
      <w:pStyle w:val="Encabezado"/>
      <w:jc w:val="right"/>
      <w:rPr>
        <w:b/>
      </w:rPr>
    </w:pPr>
  </w:p>
  <w:p w14:paraId="698563E5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563E8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698563ED" wp14:editId="698563EE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98563E9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698563EA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A2C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287651"/>
    <w:rsid w:val="00305CEF"/>
    <w:rsid w:val="0034024E"/>
    <w:rsid w:val="003722EE"/>
    <w:rsid w:val="003E173E"/>
    <w:rsid w:val="00474EDE"/>
    <w:rsid w:val="004769AE"/>
    <w:rsid w:val="004B1B0F"/>
    <w:rsid w:val="004F2C35"/>
    <w:rsid w:val="00507DE9"/>
    <w:rsid w:val="0051675A"/>
    <w:rsid w:val="005225E0"/>
    <w:rsid w:val="0059060F"/>
    <w:rsid w:val="0065617D"/>
    <w:rsid w:val="0066654E"/>
    <w:rsid w:val="006A63AE"/>
    <w:rsid w:val="006D761F"/>
    <w:rsid w:val="007212F3"/>
    <w:rsid w:val="00751787"/>
    <w:rsid w:val="007C1BAD"/>
    <w:rsid w:val="008A1A6F"/>
    <w:rsid w:val="008A71EC"/>
    <w:rsid w:val="008C1447"/>
    <w:rsid w:val="00963819"/>
    <w:rsid w:val="009A67BC"/>
    <w:rsid w:val="009B26E4"/>
    <w:rsid w:val="009D7EA7"/>
    <w:rsid w:val="00A06874"/>
    <w:rsid w:val="00A34836"/>
    <w:rsid w:val="00AB00C5"/>
    <w:rsid w:val="00AB53EA"/>
    <w:rsid w:val="00B11CD8"/>
    <w:rsid w:val="00B30435"/>
    <w:rsid w:val="00C2579D"/>
    <w:rsid w:val="00C27A21"/>
    <w:rsid w:val="00C50D27"/>
    <w:rsid w:val="00C81483"/>
    <w:rsid w:val="00C82B83"/>
    <w:rsid w:val="00C9511D"/>
    <w:rsid w:val="00D16F90"/>
    <w:rsid w:val="00D67F6F"/>
    <w:rsid w:val="00D756A7"/>
    <w:rsid w:val="00E00E35"/>
    <w:rsid w:val="00E66CC3"/>
    <w:rsid w:val="00EB0921"/>
    <w:rsid w:val="00EB47F3"/>
    <w:rsid w:val="00F30032"/>
    <w:rsid w:val="00F311BA"/>
    <w:rsid w:val="00F532BF"/>
    <w:rsid w:val="00F53DA5"/>
    <w:rsid w:val="00F56D6D"/>
    <w:rsid w:val="00F57022"/>
    <w:rsid w:val="00F60309"/>
    <w:rsid w:val="00FA63D7"/>
    <w:rsid w:val="00FB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85634C"/>
  <w15:chartTrackingRefBased/>
  <w15:docId w15:val="{422D3C58-B9CB-441E-9BD3-92FE5D30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FB3A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FB3A2C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A87C1-BE88-45B2-99C2-E8B5D2B80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7C0251-25A5-49E0-AFD6-039786C56A5D}">
  <ds:schemaRefs>
    <ds:schemaRef ds:uri="http://schemas.microsoft.com/office/2006/documentManagement/types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B03DD8E-751B-405F-853D-EAC4DF64F8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6FE424-605A-4848-B32A-B56824CE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BEB5876.dotm</Template>
  <TotalTime>1</TotalTime>
  <Pages>4</Pages>
  <Words>1260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4</cp:revision>
  <cp:lastPrinted>2017-09-28T22:28:00Z</cp:lastPrinted>
  <dcterms:created xsi:type="dcterms:W3CDTF">2018-05-16T19:36:00Z</dcterms:created>
  <dcterms:modified xsi:type="dcterms:W3CDTF">2018-05-23T14:37:00Z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