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26" w:type="dxa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7"/>
        <w:gridCol w:w="7869"/>
      </w:tblGrid>
      <w:tr w:rsidR="00DA2E71" w:rsidRPr="00DA2E71" w14:paraId="1C1C2A9E" w14:textId="77777777" w:rsidTr="00DA2E71">
        <w:trPr>
          <w:trHeight w:val="721"/>
        </w:trPr>
        <w:tc>
          <w:tcPr>
            <w:tcW w:w="228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C99BE1" w14:textId="77777777" w:rsidR="00DA2E71" w:rsidRPr="00DA2E71" w:rsidRDefault="00DA2E71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lang w:val="es-ES"/>
              </w:rPr>
            </w:pPr>
            <w:bookmarkStart w:id="0" w:name="_GoBack"/>
            <w:bookmarkEnd w:id="0"/>
            <w:r w:rsidRPr="00DA2E71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724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6DECA4" w14:textId="77777777" w:rsidR="00DA2E71" w:rsidRPr="00DA2E71" w:rsidRDefault="00DA2E71">
            <w:pPr>
              <w:ind w:right="71"/>
              <w:jc w:val="both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DA2E7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Néctar de fruta ultrapasteurizado (UHT) de diferentes variedades (manzana o pera o durazno)</w:t>
            </w:r>
            <w:r w:rsidR="0049218A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DA2E71" w:rsidRPr="00DA2E71" w14:paraId="38A50BB1" w14:textId="77777777" w:rsidTr="00DA2E71">
        <w:trPr>
          <w:trHeight w:val="721"/>
        </w:trPr>
        <w:tc>
          <w:tcPr>
            <w:tcW w:w="228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9BBD78" w14:textId="77777777" w:rsidR="00DA2E71" w:rsidRPr="00DA2E71" w:rsidRDefault="00DA2E71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A2E71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724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0AF24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3F0BA602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3CEC81D4" w14:textId="77777777" w:rsidR="00DA2E71" w:rsidRPr="00DA2E71" w:rsidRDefault="00DA2E71" w:rsidP="00DA2E71">
            <w:pPr>
              <w:numPr>
                <w:ilvl w:val="0"/>
                <w:numId w:val="4"/>
              </w:num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583D7975" w14:textId="77777777" w:rsidR="00DA2E71" w:rsidRPr="00DA2E71" w:rsidRDefault="00DA2E71" w:rsidP="00DA2E71">
            <w:pPr>
              <w:numPr>
                <w:ilvl w:val="0"/>
                <w:numId w:val="4"/>
              </w:num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NTC 4433</w:t>
            </w:r>
          </w:p>
          <w:p w14:paraId="4969565E" w14:textId="77777777" w:rsidR="00DA2E71" w:rsidRPr="00DA2E71" w:rsidRDefault="00DA2E71" w:rsidP="00DA2E71">
            <w:pPr>
              <w:numPr>
                <w:ilvl w:val="0"/>
                <w:numId w:val="4"/>
              </w:num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Resolución 3929 de 2013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69233E52" w14:textId="77777777" w:rsidR="00DA2E71" w:rsidRPr="00DA2E71" w:rsidRDefault="00DA2E71" w:rsidP="00DA2E71">
            <w:pPr>
              <w:numPr>
                <w:ilvl w:val="0"/>
                <w:numId w:val="4"/>
              </w:num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Resolución 5109 de 2005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081AB865" w14:textId="77777777" w:rsidR="00DA2E71" w:rsidRPr="00DA2E71" w:rsidRDefault="00DA2E71" w:rsidP="00DA2E71">
            <w:pPr>
              <w:numPr>
                <w:ilvl w:val="0"/>
                <w:numId w:val="4"/>
              </w:num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Resolución 333 de 2011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04209DB0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724E15BE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DA2E71" w:rsidRPr="00DA2E71" w14:paraId="3223B14A" w14:textId="77777777" w:rsidTr="00DA2E71">
        <w:trPr>
          <w:trHeight w:val="869"/>
        </w:trPr>
        <w:tc>
          <w:tcPr>
            <w:tcW w:w="228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BE4DE8" w14:textId="77777777" w:rsidR="00DA2E71" w:rsidRPr="00DA2E71" w:rsidRDefault="00DA2E71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A2E71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724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BF977E" w14:textId="77777777" w:rsidR="00DA2E71" w:rsidRPr="00DA2E71" w:rsidRDefault="00DA2E71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bCs/>
                <w:iCs/>
                <w:color w:val="4E4D4D" w:themeColor="background2"/>
                <w:sz w:val="20"/>
                <w:szCs w:val="20"/>
              </w:rPr>
              <w:t xml:space="preserve">Producto liquido ultrapasteurizado, sin fermentar, elaborado con Jugo (zumo) o pulpa o concentrado de frutas 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(manzana o pera o durazno)</w:t>
            </w:r>
            <w:r w:rsidRPr="00DA2E71">
              <w:rPr>
                <w:rFonts w:cstheme="minorHAnsi"/>
                <w:bCs/>
                <w:iCs/>
                <w:color w:val="4E4D4D" w:themeColor="background2"/>
                <w:sz w:val="20"/>
                <w:szCs w:val="20"/>
              </w:rPr>
              <w:t xml:space="preserve"> 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maduras, sanas y frescas, previamente lavadas y libres de restos de plaguicidas y otras sustancias nocivas, en condiciones sanitarias apropiadas,</w:t>
            </w:r>
            <w:r w:rsidRPr="00DA2E71">
              <w:rPr>
                <w:rFonts w:cstheme="minorHAnsi"/>
                <w:bCs/>
                <w:iCs/>
                <w:color w:val="4E4D4D" w:themeColor="background2"/>
                <w:sz w:val="20"/>
                <w:szCs w:val="20"/>
              </w:rPr>
              <w:t xml:space="preserve"> adicionado de agua y azúcares, aditivos e ingredientes permitidos en la normatividad legal vigente, 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que ha sido sometida a una higienización en adecuada relación de tiempo y temperatura, de tal manera que aseguren la ausencia de todas las formas de microorganismos vegetativos y esporulados, seguido inmediatamente de envasado aséptico en recipientes estériles a prueba de luz, impermeables y cerrados herméticamente, sin alterar de manera esencial ni su valor nutritivo ni sus características fisicoquímicas u organolépticas, la cual puede ser comercializada a temperatura  ambiente. Debe tener sabor, color y olor característicos, además, deber mantener sus características reológicas propias, ser homogéneo y fresco.</w:t>
            </w:r>
          </w:p>
        </w:tc>
      </w:tr>
      <w:tr w:rsidR="00DA2E71" w:rsidRPr="00DA2E71" w14:paraId="3F2ABD02" w14:textId="77777777" w:rsidTr="00DA2E71">
        <w:trPr>
          <w:trHeight w:val="883"/>
        </w:trPr>
        <w:tc>
          <w:tcPr>
            <w:tcW w:w="228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5528AB" w14:textId="77777777" w:rsidR="00DA2E71" w:rsidRPr="00DA2E71" w:rsidRDefault="00DA2E71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A2E71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724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5F838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El producto debe tener color, aroma y sabor característico del jugo (zumo) o pulpa de frutas o concentrado acorde de la fruta que procede.</w:t>
            </w:r>
          </w:p>
          <w:p w14:paraId="34105CDA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72C6EF3C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Debe estar razonablemente exenta de materiales defectuosos que normalmente acompañan a las frutas.</w:t>
            </w:r>
          </w:p>
          <w:p w14:paraId="54D4BB0B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001884B8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El número, tamaño y visibilidad de los defectos (tales como semillas o partículas de éstas, pieles, tejido carpelar, partículas de fruta magulladas, partículas oscuras y cualquier otra materia extraña de naturaleza análoga) no deberán afectar gravemente el aspecto ni a las características propias del producto.</w:t>
            </w:r>
          </w:p>
          <w:p w14:paraId="47A833A7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1AD258FA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Debe estar exento de microorganismos en cantidades que puedan constituir un peligro para la salud.</w:t>
            </w:r>
          </w:p>
          <w:p w14:paraId="12AC1EA1" w14:textId="77777777" w:rsidR="00DA2E71" w:rsidRPr="00DA2E71" w:rsidRDefault="00DA2E71">
            <w:pPr>
              <w:ind w:right="71"/>
              <w:jc w:val="both"/>
              <w:rPr>
                <w:rFonts w:cstheme="minorHAnsi"/>
                <w:strike/>
                <w:color w:val="4E4D4D" w:themeColor="background2"/>
                <w:sz w:val="20"/>
                <w:szCs w:val="20"/>
              </w:rPr>
            </w:pPr>
          </w:p>
          <w:p w14:paraId="701FB59E" w14:textId="77777777" w:rsidR="00DA2E71" w:rsidRPr="00DA2E71" w:rsidRDefault="00DA2E71">
            <w:pPr>
              <w:ind w:right="71"/>
              <w:jc w:val="both"/>
              <w:rPr>
                <w:rFonts w:cstheme="minorHAnsi"/>
                <w:bCs/>
                <w:iCs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bCs/>
                <w:iCs/>
                <w:color w:val="4E4D4D" w:themeColor="background2"/>
                <w:sz w:val="20"/>
                <w:szCs w:val="20"/>
              </w:rPr>
              <w:t>Se podrá hacer la adición de azucares, mieles, jarabes, edulcorantes calóricos o no</w:t>
            </w:r>
            <w:r w:rsidR="004C6465">
              <w:rPr>
                <w:rFonts w:cstheme="minorHAnsi"/>
                <w:bCs/>
                <w:iCs/>
                <w:color w:val="4E4D4D" w:themeColor="background2"/>
                <w:sz w:val="20"/>
                <w:szCs w:val="20"/>
              </w:rPr>
              <w:t>,</w:t>
            </w:r>
            <w:r w:rsidRPr="00DA2E71">
              <w:rPr>
                <w:rFonts w:cstheme="minorHAnsi"/>
                <w:bCs/>
                <w:iCs/>
                <w:color w:val="4E4D4D" w:themeColor="background2"/>
                <w:sz w:val="20"/>
                <w:szCs w:val="20"/>
              </w:rPr>
              <w:t xml:space="preserve"> o una mezcla de estos aditivos o aromatizantes, acorde con la normatividad sanitaria vigente.</w:t>
            </w:r>
          </w:p>
          <w:p w14:paraId="0B8751E8" w14:textId="77777777" w:rsidR="00DA2E71" w:rsidRPr="00DA2E71" w:rsidRDefault="00DA2E71">
            <w:pPr>
              <w:autoSpaceDE w:val="0"/>
              <w:autoSpaceDN w:val="0"/>
              <w:adjustRightInd w:val="0"/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615DED26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: </w:t>
            </w:r>
          </w:p>
          <w:p w14:paraId="6B5FA9A9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FFCB6F3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Conservación: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l producto puede conservarse a temperatura ambiente. Debe darse cumplimiento a la Resolución 2674 de 2013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mencionada una vez entren en vigencia.</w:t>
            </w:r>
          </w:p>
          <w:p w14:paraId="2D035A2D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74A73847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Almacenamiento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>: e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ste producto puede mantenerse a temperatura ambiente, en buenas condiciones higiénico-sanitarias, evitando humedad sobre el producto, así como golpes en el mismo, por lo cual se debe impedir el maltrato del producto. Debe darse cumplimiento a la Resolución 2674 de 2013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demás normas que modifiquen, sustituyan o adicionen la reglamentación mencionada una vez entren en vigencia.</w:t>
            </w:r>
          </w:p>
          <w:p w14:paraId="4E26E405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50660C5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>d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e conformidad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con la Resolución 2674 de 2013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el vehículo de transporte debe cumplir con las condiciones higiénico sanitarias establecidas en la legislación sanitaria vigente demás normas que modifiquen, sustituyan o adicionen la reglamentación mencionada una vez entren en vigencia. El producto debe estar estibado adecuadamente en canastillas plásticas, siempre y cuando se mantenga la integridad de los empaques, evitando golpes del mismo. </w:t>
            </w:r>
          </w:p>
          <w:p w14:paraId="20BB2DF3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7DE8896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Las condiciones de calidad deben conservarse desde el recibo de los productos en las plantas de ensamble y hasta la entrega en el colegio.</w:t>
            </w:r>
          </w:p>
        </w:tc>
      </w:tr>
      <w:tr w:rsidR="00DA2E71" w:rsidRPr="00DA2E71" w14:paraId="6764497D" w14:textId="77777777" w:rsidTr="00DA2E71">
        <w:trPr>
          <w:trHeight w:val="1119"/>
        </w:trPr>
        <w:tc>
          <w:tcPr>
            <w:tcW w:w="228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A1B963" w14:textId="77777777" w:rsidR="00DA2E71" w:rsidRPr="00DA2E71" w:rsidRDefault="00DA2E71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A2E71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724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1E5A2" w14:textId="77777777" w:rsidR="00DA2E71" w:rsidRPr="00DA2E71" w:rsidRDefault="00DA2E71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48E32316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  <w:t xml:space="preserve">Este producto debe 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cumplir con las siguientes características:</w:t>
            </w:r>
          </w:p>
          <w:p w14:paraId="4CC5D56A" w14:textId="77777777" w:rsidR="00DA2E71" w:rsidRPr="00DA2E71" w:rsidRDefault="00DA2E71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5C9915DA" w14:textId="77777777" w:rsidR="00DA2E71" w:rsidRPr="00DA2E71" w:rsidRDefault="00DA2E71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fisicoquímicas:</w:t>
            </w:r>
          </w:p>
          <w:p w14:paraId="77E83DEF" w14:textId="77777777" w:rsidR="00DA2E71" w:rsidRPr="00DA2E71" w:rsidRDefault="00DA2E71">
            <w:pPr>
              <w:autoSpaceDE w:val="0"/>
              <w:autoSpaceDN w:val="0"/>
              <w:adjustRightInd w:val="0"/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685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20"/>
              <w:gridCol w:w="1103"/>
              <w:gridCol w:w="1131"/>
            </w:tblGrid>
            <w:tr w:rsidR="00DA2E71" w:rsidRPr="00DA2E71" w14:paraId="3A7BC3A5" w14:textId="77777777">
              <w:trPr>
                <w:trHeight w:val="337"/>
                <w:jc w:val="center"/>
              </w:trPr>
              <w:tc>
                <w:tcPr>
                  <w:tcW w:w="4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239CEFB0" w14:textId="77777777" w:rsidR="00DA2E71" w:rsidRPr="00DA2E71" w:rsidRDefault="00DA2E71" w:rsidP="00DA2E71">
                  <w:pPr>
                    <w:autoSpaceDE w:val="0"/>
                    <w:autoSpaceDN w:val="0"/>
                    <w:adjustRightInd w:val="0"/>
                    <w:ind w:right="71"/>
                    <w:jc w:val="center"/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A2E71"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56A40223" w14:textId="77777777" w:rsidR="00DA2E71" w:rsidRPr="00DA2E71" w:rsidRDefault="00DA2E71" w:rsidP="00DA2E71">
                  <w:pPr>
                    <w:ind w:right="71"/>
                    <w:jc w:val="center"/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A2E71"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  <w:t>Mínimo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hideMark/>
                </w:tcPr>
                <w:p w14:paraId="6CF2D254" w14:textId="77777777" w:rsidR="00DA2E71" w:rsidRPr="00DA2E71" w:rsidRDefault="00DA2E71" w:rsidP="00DA2E71">
                  <w:pPr>
                    <w:ind w:right="71"/>
                    <w:jc w:val="center"/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A2E71">
                    <w:rPr>
                      <w:rFonts w:eastAsia="MS Mincho" w:cstheme="minorHAnsi"/>
                      <w:b/>
                      <w:color w:val="4E4D4D" w:themeColor="background2"/>
                      <w:sz w:val="16"/>
                      <w:szCs w:val="16"/>
                    </w:rPr>
                    <w:t>Máximo</w:t>
                  </w:r>
                </w:p>
              </w:tc>
            </w:tr>
            <w:tr w:rsidR="00DA2E71" w:rsidRPr="00DA2E71" w14:paraId="6166B1F3" w14:textId="77777777">
              <w:trPr>
                <w:trHeight w:val="498"/>
                <w:jc w:val="center"/>
              </w:trPr>
              <w:tc>
                <w:tcPr>
                  <w:tcW w:w="4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0D76C5" w14:textId="77777777" w:rsidR="00DA2E71" w:rsidRPr="00DA2E71" w:rsidRDefault="00DA2E71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2E71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Sólidos solubles por lectura refractométrica a 20ºC (Brix) en % m%m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9237A3" w14:textId="77777777" w:rsidR="00DA2E71" w:rsidRPr="00DA2E71" w:rsidRDefault="00DA2E71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2E71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6D3A6A" w14:textId="77777777" w:rsidR="00DA2E71" w:rsidRPr="00DA2E71" w:rsidRDefault="00DA2E71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2E71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</w:tr>
            <w:tr w:rsidR="00DA2E71" w:rsidRPr="00DA2E71" w14:paraId="01C9BB83" w14:textId="77777777">
              <w:trPr>
                <w:trHeight w:val="244"/>
                <w:jc w:val="center"/>
              </w:trPr>
              <w:tc>
                <w:tcPr>
                  <w:tcW w:w="4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C58F05" w14:textId="77777777" w:rsidR="00DA2E71" w:rsidRPr="00DA2E71" w:rsidRDefault="00DA2E71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2E71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pH a 20ºC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0C8132" w14:textId="77777777" w:rsidR="00DA2E71" w:rsidRPr="00DA2E71" w:rsidRDefault="00DA2E71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2E71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2.5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C50E7D" w14:textId="77777777" w:rsidR="00DA2E71" w:rsidRPr="00DA2E71" w:rsidRDefault="00DA2E71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2E71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4.6</w:t>
                  </w:r>
                </w:p>
              </w:tc>
            </w:tr>
            <w:tr w:rsidR="00DA2E71" w:rsidRPr="00DA2E71" w14:paraId="63A8E551" w14:textId="77777777">
              <w:trPr>
                <w:trHeight w:val="509"/>
                <w:jc w:val="center"/>
              </w:trPr>
              <w:tc>
                <w:tcPr>
                  <w:tcW w:w="4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2B4BDC" w14:textId="77777777" w:rsidR="00DA2E71" w:rsidRPr="00DA2E71" w:rsidRDefault="00DA2E71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2E71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Acidez titulable expresada como ácido cítrico en %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0A0467" w14:textId="77777777" w:rsidR="00DA2E71" w:rsidRPr="00DA2E71" w:rsidRDefault="00DA2E71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2E71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0.2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57A6DA" w14:textId="77777777" w:rsidR="00DA2E71" w:rsidRPr="00DA2E71" w:rsidRDefault="00DA2E71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2E71">
                    <w:rPr>
                      <w:rFonts w:eastAsia="MS Mincho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</w:tr>
          </w:tbl>
          <w:p w14:paraId="61723262" w14:textId="77777777" w:rsidR="00DA2E71" w:rsidRPr="00DA2E71" w:rsidRDefault="00DA2E71">
            <w:pPr>
              <w:autoSpaceDE w:val="0"/>
              <w:autoSpaceDN w:val="0"/>
              <w:adjustRightInd w:val="0"/>
              <w:ind w:right="71"/>
              <w:jc w:val="both"/>
              <w:rPr>
                <w:rFonts w:eastAsia="Times New Roman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503D142" w14:textId="77777777" w:rsidR="00DA2E71" w:rsidRPr="00DA2E71" w:rsidRDefault="00DA2E71">
            <w:pPr>
              <w:autoSpaceDE w:val="0"/>
              <w:autoSpaceDN w:val="0"/>
              <w:adjustRightInd w:val="0"/>
              <w:jc w:val="both"/>
              <w:rPr>
                <w:rFonts w:eastAsia="MS Mincho"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eastAsia="MS Mincho" w:cstheme="minorHAnsi"/>
                <w:color w:val="4E4D4D" w:themeColor="background2"/>
                <w:sz w:val="20"/>
                <w:szCs w:val="20"/>
              </w:rPr>
              <w:t>El porcentaje mínimo de sólidos solubles de fruta para la preparación de los diferentes néctares será el indicado en la siguiente tabla:</w:t>
            </w:r>
          </w:p>
          <w:p w14:paraId="2E7FD441" w14:textId="77777777" w:rsidR="00DA2E71" w:rsidRPr="00DA2E71" w:rsidRDefault="00DA2E71">
            <w:pPr>
              <w:autoSpaceDE w:val="0"/>
              <w:autoSpaceDN w:val="0"/>
              <w:adjustRightInd w:val="0"/>
              <w:ind w:right="71"/>
              <w:jc w:val="both"/>
              <w:rPr>
                <w:rFonts w:eastAsia="MS Mincho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771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00"/>
              <w:gridCol w:w="2579"/>
              <w:gridCol w:w="3240"/>
            </w:tblGrid>
            <w:tr w:rsidR="00DA2E71" w:rsidRPr="00DA2E71" w14:paraId="205FD520" w14:textId="77777777" w:rsidTr="00DA2E71">
              <w:trPr>
                <w:trHeight w:val="709"/>
              </w:trPr>
              <w:tc>
                <w:tcPr>
                  <w:tcW w:w="1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78FE7E14" w14:textId="77777777" w:rsidR="00DA2E71" w:rsidRPr="00DA2E71" w:rsidRDefault="00DA2E71">
                  <w:pPr>
                    <w:jc w:val="center"/>
                    <w:rPr>
                      <w:rFonts w:eastAsia="Times New Roman" w:cstheme="minorHAnsi"/>
                      <w:b/>
                      <w:bCs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2E71">
                    <w:rPr>
                      <w:rFonts w:cstheme="minorHAnsi"/>
                      <w:b/>
                      <w:bCs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FRUTAS</w:t>
                  </w:r>
                </w:p>
              </w:tc>
              <w:tc>
                <w:tcPr>
                  <w:tcW w:w="25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5637B582" w14:textId="77777777" w:rsidR="00DA2E71" w:rsidRPr="00DA2E71" w:rsidRDefault="00DA2E71">
                  <w:pPr>
                    <w:jc w:val="center"/>
                    <w:rPr>
                      <w:rFonts w:cstheme="minorHAnsi"/>
                      <w:b/>
                      <w:bCs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2E71">
                    <w:rPr>
                      <w:rFonts w:cstheme="minorHAnsi"/>
                      <w:b/>
                      <w:bCs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PULPA O JUGO DE FRUTA % m/m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323B19F7" w14:textId="77777777" w:rsidR="00DA2E71" w:rsidRPr="00DA2E71" w:rsidRDefault="00DA2E71">
                  <w:pPr>
                    <w:ind w:right="620"/>
                    <w:jc w:val="center"/>
                    <w:rPr>
                      <w:rFonts w:cstheme="minorHAnsi"/>
                      <w:b/>
                      <w:bCs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2E71">
                    <w:rPr>
                      <w:rFonts w:cstheme="minorHAnsi"/>
                      <w:b/>
                      <w:bCs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PORCENTAJE DE SÓLIDOS SOLUBLES APORTADOS</w:t>
                  </w:r>
                  <w:r w:rsidRPr="00DA2E71">
                    <w:rPr>
                      <w:rFonts w:cstheme="minorHAnsi"/>
                      <w:b/>
                      <w:bCs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POR LA FRUTA %</w:t>
                  </w:r>
                </w:p>
              </w:tc>
            </w:tr>
            <w:tr w:rsidR="00DA2E71" w:rsidRPr="00DA2E71" w14:paraId="479775E1" w14:textId="77777777">
              <w:trPr>
                <w:trHeight w:val="276"/>
              </w:trPr>
              <w:tc>
                <w:tcPr>
                  <w:tcW w:w="1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FEF8A" w14:textId="77777777" w:rsidR="00DA2E71" w:rsidRPr="00DA2E71" w:rsidRDefault="00DA2E71">
                  <w:pPr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2E71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Manzana </w:t>
                  </w:r>
                </w:p>
              </w:tc>
              <w:tc>
                <w:tcPr>
                  <w:tcW w:w="25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2153C7A" w14:textId="77777777" w:rsidR="00DA2E71" w:rsidRPr="00DA2E71" w:rsidRDefault="00DA2E71">
                  <w:pPr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2E71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18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3BDE8C4" w14:textId="77777777" w:rsidR="00DA2E71" w:rsidRPr="00DA2E71" w:rsidRDefault="00DA2E71">
                  <w:pPr>
                    <w:ind w:right="620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2E71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1.80</w:t>
                  </w:r>
                </w:p>
              </w:tc>
            </w:tr>
            <w:tr w:rsidR="00DA2E71" w:rsidRPr="00DA2E71" w14:paraId="5B32BBB2" w14:textId="77777777">
              <w:trPr>
                <w:trHeight w:val="276"/>
              </w:trPr>
              <w:tc>
                <w:tcPr>
                  <w:tcW w:w="1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89207F1" w14:textId="77777777" w:rsidR="00DA2E71" w:rsidRPr="00DA2E71" w:rsidRDefault="00DA2E71">
                  <w:pPr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2E71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Pera</w:t>
                  </w:r>
                </w:p>
              </w:tc>
              <w:tc>
                <w:tcPr>
                  <w:tcW w:w="25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5475BCD" w14:textId="77777777" w:rsidR="00DA2E71" w:rsidRPr="00DA2E71" w:rsidRDefault="00DA2E71">
                  <w:pPr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2E71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18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D99AA9B" w14:textId="77777777" w:rsidR="00DA2E71" w:rsidRPr="00DA2E71" w:rsidRDefault="00DA2E71">
                  <w:pPr>
                    <w:ind w:right="620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2E71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1.80</w:t>
                  </w:r>
                </w:p>
              </w:tc>
            </w:tr>
            <w:tr w:rsidR="00DA2E71" w:rsidRPr="00DA2E71" w14:paraId="4CF5748A" w14:textId="77777777">
              <w:trPr>
                <w:trHeight w:val="276"/>
              </w:trPr>
              <w:tc>
                <w:tcPr>
                  <w:tcW w:w="1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44578F21" w14:textId="77777777" w:rsidR="00DA2E71" w:rsidRPr="00DA2E71" w:rsidRDefault="00DA2E71">
                  <w:pPr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2E71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Durazno </w:t>
                  </w:r>
                </w:p>
              </w:tc>
              <w:tc>
                <w:tcPr>
                  <w:tcW w:w="25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E1ABB4E" w14:textId="77777777" w:rsidR="00DA2E71" w:rsidRPr="00DA2E71" w:rsidRDefault="00DA2E71">
                  <w:pPr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2E71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18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29082C5" w14:textId="77777777" w:rsidR="00DA2E71" w:rsidRPr="00DA2E71" w:rsidRDefault="00DA2E71">
                  <w:pPr>
                    <w:ind w:right="620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2E71">
                    <w:rPr>
                      <w:rFonts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2.07</w:t>
                  </w:r>
                </w:p>
              </w:tc>
            </w:tr>
          </w:tbl>
          <w:p w14:paraId="7F84BC14" w14:textId="77777777" w:rsidR="00DA2E71" w:rsidRPr="00DA2E71" w:rsidRDefault="00DA2E71">
            <w:pPr>
              <w:ind w:right="71"/>
              <w:jc w:val="both"/>
              <w:rPr>
                <w:rFonts w:eastAsia="Times New Roman" w:cstheme="minorHAnsi"/>
                <w:b/>
                <w:color w:val="4E4D4D" w:themeColor="background2"/>
                <w:sz w:val="20"/>
                <w:szCs w:val="20"/>
                <w:lang w:val="es-ES" w:eastAsia="es-ES"/>
              </w:rPr>
            </w:pPr>
          </w:p>
          <w:p w14:paraId="22304553" w14:textId="77777777" w:rsidR="00DA2E71" w:rsidRPr="00DA2E71" w:rsidRDefault="00DA2E71" w:rsidP="00DA2E71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:</w:t>
            </w:r>
            <w:r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 xml:space="preserve"> l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  <w:lang w:val="es-CO" w:eastAsia="es-CO"/>
              </w:rPr>
              <w:t>os néctares de frutas que sean sometidos a procesos de esterilidad comercial deben cumplir con la prueba de esterilidad comercial: Incubar en sus envases originales dos (2) muestras a 35º +/-2 C y dos (2) muestras a 55º +/-2 C durante diez (10) días, al cabo de los cuales no deben presentar crecimiento microbiano.</w:t>
            </w:r>
          </w:p>
          <w:p w14:paraId="30E056F2" w14:textId="77777777" w:rsidR="00DA2E71" w:rsidRPr="00DA2E71" w:rsidRDefault="00DA2E71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  <w:lang w:val="es-ES" w:eastAsia="es-ES"/>
              </w:rPr>
            </w:pPr>
          </w:p>
          <w:p w14:paraId="29745AEE" w14:textId="77777777" w:rsidR="00DA2E71" w:rsidRDefault="00DA2E71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(por 100 g)</w:t>
            </w: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:</w:t>
            </w:r>
          </w:p>
          <w:p w14:paraId="6FD12E35" w14:textId="77777777" w:rsidR="004E02CA" w:rsidRDefault="004E02C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932"/>
              <w:gridCol w:w="953"/>
              <w:gridCol w:w="884"/>
              <w:gridCol w:w="946"/>
              <w:gridCol w:w="905"/>
              <w:gridCol w:w="1283"/>
              <w:gridCol w:w="944"/>
              <w:gridCol w:w="872"/>
            </w:tblGrid>
            <w:tr w:rsidR="004E02CA" w14:paraId="2F987E25" w14:textId="77777777" w:rsidTr="00C40754">
              <w:tc>
                <w:tcPr>
                  <w:tcW w:w="932" w:type="dxa"/>
                  <w:vAlign w:val="center"/>
                </w:tcPr>
                <w:p w14:paraId="46E6879D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953" w:type="dxa"/>
                  <w:vAlign w:val="center"/>
                </w:tcPr>
                <w:p w14:paraId="14ED5C4B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PROTEÍ</w:t>
                  </w: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884" w:type="dxa"/>
                  <w:vAlign w:val="center"/>
                </w:tcPr>
                <w:p w14:paraId="70FA5CF2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946" w:type="dxa"/>
                  <w:vAlign w:val="center"/>
                </w:tcPr>
                <w:p w14:paraId="4FCC967E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905" w:type="dxa"/>
                  <w:vAlign w:val="center"/>
                </w:tcPr>
                <w:p w14:paraId="76B62CDF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1283" w:type="dxa"/>
                  <w:vAlign w:val="center"/>
                </w:tcPr>
                <w:p w14:paraId="45E463B1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sz w:val="12"/>
                      <w:szCs w:val="12"/>
                    </w:rPr>
                    <w:t>CARBOHIDRATOS (g)</w:t>
                  </w:r>
                </w:p>
              </w:tc>
              <w:tc>
                <w:tcPr>
                  <w:tcW w:w="944" w:type="dxa"/>
                  <w:vAlign w:val="center"/>
                </w:tcPr>
                <w:p w14:paraId="65D160BB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872" w:type="dxa"/>
                  <w:vAlign w:val="center"/>
                </w:tcPr>
                <w:p w14:paraId="2C78C133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SODIO</w:t>
                  </w: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4E02CA" w14:paraId="0F363768" w14:textId="77777777" w:rsidTr="00C40754">
              <w:tc>
                <w:tcPr>
                  <w:tcW w:w="932" w:type="dxa"/>
                  <w:vAlign w:val="center"/>
                </w:tcPr>
                <w:p w14:paraId="082C2943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3B2450"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  <w:t>Máximo 65</w:t>
                  </w:r>
                </w:p>
              </w:tc>
              <w:tc>
                <w:tcPr>
                  <w:tcW w:w="953" w:type="dxa"/>
                  <w:vAlign w:val="center"/>
                </w:tcPr>
                <w:p w14:paraId="21379E52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Mínimo 0</w:t>
                  </w:r>
                </w:p>
              </w:tc>
              <w:tc>
                <w:tcPr>
                  <w:tcW w:w="884" w:type="dxa"/>
                  <w:vAlign w:val="center"/>
                </w:tcPr>
                <w:p w14:paraId="6DC1855B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946" w:type="dxa"/>
                  <w:vAlign w:val="center"/>
                </w:tcPr>
                <w:p w14:paraId="3425DE88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 xml:space="preserve">Máximo </w:t>
                  </w: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905" w:type="dxa"/>
                  <w:vAlign w:val="center"/>
                </w:tcPr>
                <w:p w14:paraId="2BD6E598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1283" w:type="dxa"/>
                  <w:vAlign w:val="center"/>
                </w:tcPr>
                <w:p w14:paraId="6E32B80E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16</w:t>
                  </w:r>
                </w:p>
              </w:tc>
              <w:tc>
                <w:tcPr>
                  <w:tcW w:w="944" w:type="dxa"/>
                  <w:vAlign w:val="center"/>
                </w:tcPr>
                <w:p w14:paraId="2ACBE800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14</w:t>
                  </w:r>
                </w:p>
              </w:tc>
              <w:tc>
                <w:tcPr>
                  <w:tcW w:w="872" w:type="dxa"/>
                  <w:vAlign w:val="center"/>
                </w:tcPr>
                <w:p w14:paraId="6B9005AA" w14:textId="77777777" w:rsidR="004E02CA" w:rsidRDefault="004E02CA" w:rsidP="00C407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20</w:t>
                  </w:r>
                </w:p>
              </w:tc>
            </w:tr>
          </w:tbl>
          <w:p w14:paraId="2DF852F2" w14:textId="77777777" w:rsidR="00DA2E71" w:rsidRPr="00DA2E71" w:rsidRDefault="00DA2E71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  <w:color w:val="4E4D4D" w:themeColor="background2"/>
                <w:sz w:val="20"/>
                <w:szCs w:val="20"/>
                <w:lang w:val="es-ES" w:eastAsia="es-ES"/>
              </w:rPr>
            </w:pPr>
          </w:p>
          <w:p w14:paraId="2A92D04D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4C6465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A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gua, Pulpa de fruta </w:t>
            </w:r>
            <w:r w:rsidRPr="00DA2E71">
              <w:rPr>
                <w:rFonts w:cstheme="minorHAnsi"/>
                <w:bCs/>
                <w:iCs/>
                <w:color w:val="4E4D4D" w:themeColor="background2"/>
                <w:sz w:val="20"/>
                <w:szCs w:val="20"/>
              </w:rPr>
              <w:t>o concentrado de frutas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(manzana o pera o durazno), Azúcar, demás ingredientes y aditivos permitidos.</w:t>
            </w:r>
          </w:p>
          <w:p w14:paraId="5D4DF143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122D88A2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Se deben emplear los ingredientes permitido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>s en la Resolución 3929 de 2013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En cuanto a los aditivos, deberá(n) ser reportado(s) de manera obligatoria con su nombre específico y deberán estar aprobados en la reglamentación sanitaria vigente.</w:t>
            </w:r>
          </w:p>
          <w:p w14:paraId="77DF7AE7" w14:textId="77777777" w:rsidR="00DA2E71" w:rsidRPr="00DA2E71" w:rsidRDefault="00DA2E71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537AD7C5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vencimiento: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2AB4711E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DA2E71" w:rsidRPr="00DA2E71" w14:paraId="79333865" w14:textId="77777777" w:rsidTr="00DA2E71">
        <w:trPr>
          <w:trHeight w:val="1049"/>
        </w:trPr>
        <w:tc>
          <w:tcPr>
            <w:tcW w:w="228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642617" w14:textId="77777777" w:rsidR="00DA2E71" w:rsidRPr="00DA2E71" w:rsidRDefault="00DA2E71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A2E71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 rotulado</w:t>
            </w:r>
          </w:p>
        </w:tc>
        <w:tc>
          <w:tcPr>
            <w:tcW w:w="724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6067D" w14:textId="7E390C8D" w:rsidR="00DA2E71" w:rsidRPr="00DA2E71" w:rsidRDefault="00DA2E71">
            <w:pPr>
              <w:autoSpaceDE w:val="0"/>
              <w:autoSpaceDN w:val="0"/>
              <w:adjustRightInd w:val="0"/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</w:t>
            </w: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: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l empaque primario debe cumplir cabalmente con las especificaciones técnicas establecidas en la Resolución 683 de 2012 y las demás normas que la modifique o sustituya. El producto debe ser empacado o envasado en empaque flexible, grado alimenticio, inerte, que no genere migraciones de componentes al producto, resistente, no debe ser </w:t>
            </w:r>
            <w:r w:rsidR="00171573">
              <w:rPr>
                <w:rFonts w:cstheme="minorHAnsi"/>
                <w:color w:val="4E4D4D" w:themeColor="background2"/>
                <w:sz w:val="20"/>
                <w:szCs w:val="20"/>
              </w:rPr>
              <w:t>im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permeable a la luz,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</w:t>
            </w:r>
          </w:p>
          <w:p w14:paraId="2603C3DA" w14:textId="77777777" w:rsidR="00DA2E71" w:rsidRPr="00DA2E71" w:rsidRDefault="00DA2E71">
            <w:pPr>
              <w:autoSpaceDE w:val="0"/>
              <w:autoSpaceDN w:val="0"/>
              <w:adjustRightInd w:val="0"/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El sellado deberá garantizar la integridad aséptica, microbiológica, sensorial y fisicoquímica del producto.</w:t>
            </w:r>
          </w:p>
          <w:p w14:paraId="797D3EE2" w14:textId="77777777" w:rsidR="00DA2E71" w:rsidRPr="00DA2E71" w:rsidRDefault="00DA2E71">
            <w:pPr>
              <w:autoSpaceDE w:val="0"/>
              <w:autoSpaceDN w:val="0"/>
              <w:adjustRightInd w:val="0"/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54E26940" w14:textId="77777777" w:rsidR="00DA2E71" w:rsidRPr="00DA2E71" w:rsidRDefault="00DA2E71">
            <w:pPr>
              <w:autoSpaceDE w:val="0"/>
              <w:autoSpaceDN w:val="0"/>
              <w:adjustRightInd w:val="0"/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Rotulado</w:t>
            </w:r>
            <w:r w:rsidRPr="00DA2E71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: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l rotulado, debe contener la información establecida en la Resolución 5109 de 2005 y   Resolución 333 de 2011 del Ministerio de Protección social y las demás normas que modifiquen, sustituyan o adicionen la reglamentación mencionada una vez entren en vigencia.</w:t>
            </w:r>
          </w:p>
          <w:p w14:paraId="0CEC8D8D" w14:textId="77777777" w:rsidR="00DA2E71" w:rsidRPr="00DA2E71" w:rsidRDefault="00DA2E71">
            <w:pPr>
              <w:autoSpaceDE w:val="0"/>
              <w:autoSpaceDN w:val="0"/>
              <w:adjustRightInd w:val="0"/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69FF10C5" w14:textId="1E950CA1" w:rsidR="00DA2E71" w:rsidRPr="00DA2E71" w:rsidRDefault="00DA2E71">
            <w:pPr>
              <w:autoSpaceDE w:val="0"/>
              <w:autoSpaceDN w:val="0"/>
              <w:adjustRightInd w:val="0"/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Las fechas de vencimiento</w:t>
            </w:r>
            <w:r w:rsidR="0061453B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número de lote, deben estar resaltadas y legibles.</w:t>
            </w:r>
          </w:p>
        </w:tc>
      </w:tr>
      <w:tr w:rsidR="00DA2E71" w:rsidRPr="00DA2E71" w14:paraId="32E9BD86" w14:textId="77777777" w:rsidTr="00DA2E71">
        <w:trPr>
          <w:trHeight w:val="396"/>
        </w:trPr>
        <w:tc>
          <w:tcPr>
            <w:tcW w:w="228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076AEF" w14:textId="77777777" w:rsidR="00DA2E71" w:rsidRPr="00DA2E71" w:rsidRDefault="00DA2E71">
            <w:pPr>
              <w:tabs>
                <w:tab w:val="left" w:pos="7740"/>
              </w:tabs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A2E71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7243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E308F" w14:textId="77777777" w:rsidR="00DA2E71" w:rsidRPr="00DA2E71" w:rsidRDefault="00DA2E71">
            <w:pPr>
              <w:tabs>
                <w:tab w:val="left" w:pos="7740"/>
              </w:tabs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2FB9C0B5" w14:textId="77777777" w:rsidR="00DA2E71" w:rsidRPr="00DA2E71" w:rsidRDefault="00DA2E71">
            <w:pPr>
              <w:tabs>
                <w:tab w:val="left" w:pos="7740"/>
              </w:tabs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Refrigerio Tipo A Unidad x 200 ml ó cm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0422A2AB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Refrigerio Tipo B Unidad x 200 ml ó cm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3FC73577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DA2E71">
              <w:rPr>
                <w:rFonts w:cstheme="minorHAnsi"/>
                <w:color w:val="4E4D4D" w:themeColor="background2"/>
                <w:sz w:val="20"/>
                <w:szCs w:val="20"/>
              </w:rPr>
              <w:t>Refrigerio Tipo C y N Unidad x 200 ml ó cm</w:t>
            </w:r>
            <w:r w:rsidRPr="00DA2E71">
              <w:rPr>
                <w:rFonts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585AEAAC" w14:textId="77777777" w:rsidR="00DA2E71" w:rsidRPr="00DA2E71" w:rsidRDefault="00DA2E71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  <w:vertAlign w:val="superscript"/>
              </w:rPr>
            </w:pPr>
          </w:p>
        </w:tc>
      </w:tr>
    </w:tbl>
    <w:p w14:paraId="4C188CE1" w14:textId="77777777" w:rsidR="00DA2E71" w:rsidRDefault="00DA2E71" w:rsidP="00DA2E71">
      <w:pPr>
        <w:jc w:val="both"/>
        <w:rPr>
          <w:rFonts w:ascii="Arial" w:eastAsia="Times New Roman" w:hAnsi="Arial" w:cs="Arial"/>
          <w:b/>
          <w:sz w:val="22"/>
        </w:rPr>
      </w:pPr>
    </w:p>
    <w:p w14:paraId="64E16D5A" w14:textId="77777777" w:rsidR="00DA2E71" w:rsidRDefault="00DA2E71" w:rsidP="00DA2E71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1: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 xml:space="preserve">La presente 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372CF8D4" w14:textId="77777777" w:rsidR="00DA2E71" w:rsidRPr="008E12CB" w:rsidRDefault="00DA2E71" w:rsidP="00DA2E71">
      <w:pPr>
        <w:jc w:val="both"/>
        <w:rPr>
          <w:rFonts w:ascii="Arial" w:hAnsi="Arial"/>
          <w:color w:val="4E4D4D" w:themeColor="background2"/>
          <w:sz w:val="20"/>
          <w:szCs w:val="20"/>
        </w:rPr>
      </w:pPr>
    </w:p>
    <w:p w14:paraId="53529C67" w14:textId="77777777" w:rsidR="00DA2E71" w:rsidRPr="008E12CB" w:rsidRDefault="00DA2E71" w:rsidP="00DA2E71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</w:pPr>
      <w:r w:rsidRPr="008E12CB">
        <w:rPr>
          <w:rFonts w:ascii="Arial" w:eastAsia="Calibri" w:hAnsi="Arial" w:cs="Arial"/>
          <w:b/>
          <w:color w:val="4E4D4D" w:themeColor="background2"/>
          <w:sz w:val="20"/>
          <w:szCs w:val="20"/>
          <w:lang w:val="es-CO"/>
        </w:rPr>
        <w:t>NOTA 2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: Los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23470EE2" w14:textId="77777777" w:rsidR="00DA2E71" w:rsidRPr="008E12CB" w:rsidRDefault="00DA2E71" w:rsidP="00DA2E71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</w:pPr>
    </w:p>
    <w:p w14:paraId="7812CA6A" w14:textId="77777777" w:rsidR="00DA2E71" w:rsidRDefault="00DA2E71" w:rsidP="00DA2E71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3: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>En caso tal que el proveedor adjudicatario, oferte un producto con ingredientes o aditivos adicionales a los mínimos requeridos en la Ficha Técnica; el contratista será quien asumirá los costos adicionales generados por las características agregadas a</w:t>
      </w:r>
      <w:r>
        <w:rPr>
          <w:rFonts w:ascii="Arial" w:hAnsi="Arial" w:cs="Arial"/>
          <w:color w:val="4E4D4D" w:themeColor="background2"/>
          <w:sz w:val="20"/>
          <w:szCs w:val="20"/>
        </w:rPr>
        <w:t>l producto. Es decir, la SED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03EC4E4E" w14:textId="77777777" w:rsidR="00DA2E71" w:rsidRDefault="00DA2E71" w:rsidP="00DA2E71">
      <w:pPr>
        <w:tabs>
          <w:tab w:val="left" w:pos="7740"/>
        </w:tabs>
        <w:jc w:val="both"/>
        <w:rPr>
          <w:rFonts w:ascii="Arial" w:hAnsi="Arial" w:cs="Arial"/>
          <w:sz w:val="22"/>
        </w:rPr>
      </w:pPr>
    </w:p>
    <w:p w14:paraId="1B84BB50" w14:textId="77777777" w:rsidR="00DA2E71" w:rsidRPr="00F11402" w:rsidRDefault="00DA2E71" w:rsidP="00DA2E71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F11402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F11402">
        <w:rPr>
          <w:rFonts w:ascii="Arial" w:hAnsi="Arial" w:cs="Arial"/>
          <w:color w:val="4E4D4D" w:themeColor="background2"/>
          <w:sz w:val="20"/>
          <w:szCs w:val="20"/>
        </w:rPr>
        <w:t xml:space="preserve"> El proveedor debe reportar la información nutricional del producto en el empaque primario, como lo establece la resolución 5109 del 2005 y la resolución 333 de 2011 </w:t>
      </w:r>
      <w:r>
        <w:rPr>
          <w:rFonts w:ascii="Arial" w:hAnsi="Arial" w:cs="Arial"/>
          <w:color w:val="4E4D4D" w:themeColor="background2"/>
          <w:sz w:val="20"/>
          <w:szCs w:val="20"/>
        </w:rPr>
        <w:t>expedida por el Ministerio de Salud y Protección Social.</w:t>
      </w:r>
    </w:p>
    <w:p w14:paraId="4E12AFA6" w14:textId="77777777" w:rsidR="009A67BC" w:rsidRPr="00DA2E71" w:rsidRDefault="009A67BC" w:rsidP="00DA2E71"/>
    <w:sectPr w:rsidR="009A67BC" w:rsidRPr="00DA2E71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130A6" w14:textId="77777777" w:rsidR="00DB6CAC" w:rsidRDefault="00DB6CAC" w:rsidP="004F2C35">
      <w:r>
        <w:separator/>
      </w:r>
    </w:p>
  </w:endnote>
  <w:endnote w:type="continuationSeparator" w:id="0">
    <w:p w14:paraId="69DD1431" w14:textId="77777777" w:rsidR="00DB6CAC" w:rsidRDefault="00DB6CAC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BDCAE" w14:textId="77777777" w:rsidR="00C50D27" w:rsidRDefault="00C50D27">
    <w:pPr>
      <w:pStyle w:val="Piedepgina"/>
      <w:jc w:val="right"/>
    </w:pPr>
  </w:p>
  <w:p w14:paraId="1DADF2FA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47FF5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ES" w:eastAsia="es-ES"/>
      </w:rPr>
      <w:drawing>
        <wp:inline distT="0" distB="0" distL="0" distR="0" wp14:anchorId="6E9372A6" wp14:editId="29A233E1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DDB5DD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ES" w:eastAsia="es-ES"/>
      </w:rPr>
      <w:drawing>
        <wp:inline distT="0" distB="0" distL="0" distR="0" wp14:anchorId="4EAD1607" wp14:editId="6132FBD5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94700" w14:textId="77777777" w:rsidR="00DB6CAC" w:rsidRDefault="00DB6CAC" w:rsidP="004F2C35">
      <w:r>
        <w:separator/>
      </w:r>
    </w:p>
  </w:footnote>
  <w:footnote w:type="continuationSeparator" w:id="0">
    <w:p w14:paraId="250384E4" w14:textId="77777777" w:rsidR="00DB6CAC" w:rsidRDefault="00DB6CAC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6E546" w14:textId="77777777" w:rsidR="006D761F" w:rsidRDefault="006D761F" w:rsidP="006D761F">
    <w:pPr>
      <w:pStyle w:val="Encabezado"/>
      <w:jc w:val="right"/>
      <w:rPr>
        <w:b/>
      </w:rPr>
    </w:pPr>
  </w:p>
  <w:p w14:paraId="5BC678C2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0AF40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ES" w:eastAsia="es-ES"/>
      </w:rPr>
      <w:drawing>
        <wp:inline distT="0" distB="0" distL="0" distR="0" wp14:anchorId="3419D42A" wp14:editId="5DED2AE5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14:paraId="33000703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2319D2FC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1B249F"/>
    <w:multiLevelType w:val="hybridMultilevel"/>
    <w:tmpl w:val="262477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71"/>
    <w:rsid w:val="00091E6B"/>
    <w:rsid w:val="000D7CD2"/>
    <w:rsid w:val="0014591D"/>
    <w:rsid w:val="00154ECB"/>
    <w:rsid w:val="00171573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305CEF"/>
    <w:rsid w:val="0034024E"/>
    <w:rsid w:val="003E173E"/>
    <w:rsid w:val="00474EDE"/>
    <w:rsid w:val="0049218A"/>
    <w:rsid w:val="004B1B0F"/>
    <w:rsid w:val="004C6465"/>
    <w:rsid w:val="004E02CA"/>
    <w:rsid w:val="004F2C35"/>
    <w:rsid w:val="005225E0"/>
    <w:rsid w:val="0059060F"/>
    <w:rsid w:val="0061453B"/>
    <w:rsid w:val="0065617D"/>
    <w:rsid w:val="006A63AE"/>
    <w:rsid w:val="006D761F"/>
    <w:rsid w:val="00711CB2"/>
    <w:rsid w:val="007212F3"/>
    <w:rsid w:val="00751787"/>
    <w:rsid w:val="007C1BAD"/>
    <w:rsid w:val="00877582"/>
    <w:rsid w:val="008A1A6F"/>
    <w:rsid w:val="008A71EC"/>
    <w:rsid w:val="009A67BC"/>
    <w:rsid w:val="009B26E4"/>
    <w:rsid w:val="00A06874"/>
    <w:rsid w:val="00A34836"/>
    <w:rsid w:val="00B11CD8"/>
    <w:rsid w:val="00B30435"/>
    <w:rsid w:val="00B5686E"/>
    <w:rsid w:val="00C2579D"/>
    <w:rsid w:val="00C40754"/>
    <w:rsid w:val="00C50D27"/>
    <w:rsid w:val="00C81483"/>
    <w:rsid w:val="00C91E56"/>
    <w:rsid w:val="00D67F6F"/>
    <w:rsid w:val="00DA2E71"/>
    <w:rsid w:val="00DB6CAC"/>
    <w:rsid w:val="00E66CC3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C9BAF98"/>
  <w15:docId w15:val="{3F11CE0D-75BA-4ED5-9507-A19B76D83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874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DA2E71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8863F-ED63-4B0A-B940-46281B71D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7EB42E-0AD5-4231-B63C-0C7F7E59316C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B7E4F5C-930A-4A40-A541-33C905EFD5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FCA594-F7F7-4694-BA18-35887C72C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F517C401.dotm</Template>
  <TotalTime>16</TotalTime>
  <Pages>3</Pages>
  <Words>1271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Julián Mauricio Ortegón Fernández</dc:creator>
  <cp:keywords/>
  <dc:description/>
  <cp:lastModifiedBy>Ingrid Natalia Quiroga Fagua</cp:lastModifiedBy>
  <cp:revision>6</cp:revision>
  <cp:lastPrinted>2017-09-28T22:28:00Z</cp:lastPrinted>
  <dcterms:created xsi:type="dcterms:W3CDTF">2018-05-15T20:48:00Z</dcterms:created>
  <dcterms:modified xsi:type="dcterms:W3CDTF">2018-05-23T14:50:00Z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