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B3654" w14:textId="77777777" w:rsidR="004752E6" w:rsidRDefault="004752E6" w:rsidP="004752E6">
      <w:pPr>
        <w:pStyle w:val="Encabezado"/>
        <w:rPr>
          <w:rFonts w:ascii="Arial" w:hAnsi="Arial" w:cs="Arial"/>
          <w:sz w:val="22"/>
          <w:szCs w:val="22"/>
        </w:rPr>
      </w:pPr>
    </w:p>
    <w:tbl>
      <w:tblPr>
        <w:tblW w:w="8861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6521"/>
      </w:tblGrid>
      <w:tr w:rsidR="004E3AF6" w:rsidRPr="004E3AF6" w14:paraId="41F0164A" w14:textId="77777777" w:rsidTr="00F44B8E">
        <w:trPr>
          <w:trHeight w:val="721"/>
        </w:trPr>
        <w:tc>
          <w:tcPr>
            <w:tcW w:w="234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200837" w14:textId="77777777" w:rsidR="004752E6" w:rsidRPr="004E3AF6" w:rsidRDefault="004752E6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521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E7D555" w14:textId="77777777" w:rsidR="004752E6" w:rsidRPr="004E3AF6" w:rsidRDefault="004E3AF6" w:rsidP="004E3AF6">
            <w:pPr>
              <w:ind w:right="21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Gelatina preparada con fruta picada</w:t>
            </w:r>
            <w:r w:rsidR="00A631F5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4E3AF6" w:rsidRPr="004E3AF6" w14:paraId="6639F470" w14:textId="77777777" w:rsidTr="00F44B8E">
        <w:trPr>
          <w:trHeight w:val="721"/>
        </w:trPr>
        <w:tc>
          <w:tcPr>
            <w:tcW w:w="23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93EAD4" w14:textId="77777777" w:rsidR="004752E6" w:rsidRPr="004E3AF6" w:rsidRDefault="004752E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E3AF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4879A" w14:textId="77777777" w:rsidR="004752E6" w:rsidRPr="004E3AF6" w:rsidRDefault="004752E6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cumplir la siguiente normatividad: </w:t>
            </w:r>
          </w:p>
          <w:p w14:paraId="15F30ED1" w14:textId="77777777" w:rsidR="004752E6" w:rsidRPr="004E3AF6" w:rsidRDefault="004752E6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88C22BF" w14:textId="77777777" w:rsidR="004752E6" w:rsidRPr="004E3AF6" w:rsidRDefault="004752E6" w:rsidP="004752E6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4E3AF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231DC36B" w14:textId="77777777" w:rsidR="004752E6" w:rsidRPr="004E3AF6" w:rsidRDefault="004752E6" w:rsidP="004752E6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Gelatina preparada</w:t>
            </w:r>
          </w:p>
          <w:p w14:paraId="47DEA508" w14:textId="77777777" w:rsidR="004752E6" w:rsidRPr="004E3AF6" w:rsidRDefault="004752E6" w:rsidP="004752E6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4E3AF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436DF07C" w14:textId="77777777" w:rsidR="004752E6" w:rsidRPr="004E3AF6" w:rsidRDefault="004752E6" w:rsidP="004752E6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4E3AF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6BAF90F2" w14:textId="77777777" w:rsidR="004752E6" w:rsidRPr="004E3AF6" w:rsidRDefault="004752E6">
            <w:pPr>
              <w:ind w:left="720"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9589431" w14:textId="77777777" w:rsidR="004752E6" w:rsidRPr="004E3AF6" w:rsidRDefault="004752E6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4E3AF6" w:rsidRPr="004E3AF6" w14:paraId="5BF942CA" w14:textId="77777777" w:rsidTr="00F44B8E">
        <w:trPr>
          <w:trHeight w:val="496"/>
        </w:trPr>
        <w:tc>
          <w:tcPr>
            <w:tcW w:w="23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36851" w14:textId="77777777" w:rsidR="004752E6" w:rsidRPr="004E3AF6" w:rsidRDefault="004752E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E3AF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5E063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Gelatina es una mezcla coloide (sustancia semisólida), translúcida, quebradiza y casi insípida que se obtiene a partir del colágeno procedente del tejido conectivo del ganado, saborizada con aromas artificiales, edulcorantes naturales o artificiales, colorantes y saborizantes, con adición de trozos de fruta en conserva, que al ser diluida con agua caliente y posteriormente sometida a refrigeración se puede consumir como postre listo para el consumo.</w:t>
            </w:r>
          </w:p>
          <w:p w14:paraId="0E9E2490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3ED5FAF" w14:textId="77777777" w:rsidR="004752E6" w:rsidRPr="004E3AF6" w:rsidRDefault="004752E6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método de higienización al cual debe ser sometido el producto es la pasteurización, cuyo proceso es aplicado mediante una adecuada relación de temperatura y tiempo para destruir su flora patógena y la casi totalidad de su flora banal, sin alterar de manera esencial ni su valor nutritivo, ni sus características fisicoquímicas u organolépticas.</w:t>
            </w:r>
          </w:p>
          <w:p w14:paraId="247C9F55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4E3AF6" w:rsidRPr="004E3AF6" w14:paraId="12D4C346" w14:textId="77777777" w:rsidTr="00F44B8E">
        <w:trPr>
          <w:trHeight w:val="883"/>
        </w:trPr>
        <w:tc>
          <w:tcPr>
            <w:tcW w:w="23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842118" w14:textId="77777777" w:rsidR="004752E6" w:rsidRPr="004E3AF6" w:rsidRDefault="004752E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E3AF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F643CC" w14:textId="77777777" w:rsidR="004752E6" w:rsidRPr="004E3AF6" w:rsidRDefault="004752E6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193DE27" w14:textId="77777777" w:rsidR="004752E6" w:rsidRPr="004E3AF6" w:rsidRDefault="004752E6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gelatina comestible será prácticamente insoluble en agua fría, pero deberá hincharse y ablandarse, absorbiendo de 5 a 10 veces su peso en agua.</w:t>
            </w:r>
          </w:p>
          <w:p w14:paraId="70BE2700" w14:textId="77777777" w:rsidR="004752E6" w:rsidRPr="004E3AF6" w:rsidRDefault="004752E6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9EB2AFA" w14:textId="77777777" w:rsidR="004752E6" w:rsidRPr="004E3AF6" w:rsidRDefault="004752E6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gelatina comestible se disolverá completamente en agua caliente formando una solución coloidal, a la cual se le adicionan trozos de futa en conserva equivalentes mínimo al 30% del peso total del producto terminado.</w:t>
            </w:r>
          </w:p>
          <w:p w14:paraId="5DDC9BF3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3579F07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Sabor, olor y color propio del saborizante y colorante empleado (fresa, frambuesa, naranja, durazno etc.) con trozos de fruta en conserva.</w:t>
            </w:r>
          </w:p>
          <w:p w14:paraId="037CC303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451FA1E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exento de sustancias toxicas o residuos de drogas o medicamentos.</w:t>
            </w:r>
          </w:p>
          <w:p w14:paraId="37F53B4C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5F0A9C0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gelatinas listas para el consumo presentan texturas fácilmente quebradizas, la forma puede variar. Se caracteriza porque su consistencia es blanda y toma la forma de su empaque o molde una vez preparada.</w:t>
            </w:r>
          </w:p>
          <w:p w14:paraId="0CAD0E1C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602F61A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final, debe contener trozos de una sola fruta o la combinación de varias frutas.</w:t>
            </w:r>
          </w:p>
          <w:p w14:paraId="1AA82A8D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075144D" w14:textId="77777777" w:rsidR="004752E6" w:rsidRPr="004E3AF6" w:rsidRDefault="004752E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6698A6D6" w14:textId="77777777" w:rsidR="004752E6" w:rsidRPr="004E3AF6" w:rsidRDefault="004752E6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 xml:space="preserve"> </w:t>
            </w:r>
          </w:p>
          <w:p w14:paraId="094549EB" w14:textId="77777777" w:rsidR="004752E6" w:rsidRPr="004E3AF6" w:rsidRDefault="004752E6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4ºC +/- 2ºC, según lo establecido en la Resolución 2674 de 2013</w:t>
            </w:r>
            <w:r w:rsidR="004E3AF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modifiquen, sustituyan o adicionen la reglamentación mencionada una vez entren en vigencia. Después de abierto debe consumirse en el menor tiempo posible.</w:t>
            </w:r>
          </w:p>
          <w:p w14:paraId="42317E9C" w14:textId="77777777" w:rsidR="004752E6" w:rsidRPr="004E3AF6" w:rsidRDefault="004752E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FD2F006" w14:textId="77777777" w:rsidR="004752E6" w:rsidRPr="004E3AF6" w:rsidRDefault="004752E6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en canastillas estibadas, a temperatura de refrigeración no mayor a 4ºC +/- 2ºC.  Los cuartos de almacenamiento deben permanecer en buenas condiciones </w:t>
            </w:r>
            <w:r w:rsidR="004E3AF6"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y disponer de controles de temperatura. Todo lo anterior según lo establecido en la Resolución 2674 de 2013</w:t>
            </w:r>
            <w:r w:rsidR="004E3AF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modifiquen, sustituyan o adicionen la reglamentación mencionada una vez entren en vigencia.</w:t>
            </w:r>
          </w:p>
          <w:p w14:paraId="5A4F0FB6" w14:textId="77777777" w:rsidR="004752E6" w:rsidRPr="004E3AF6" w:rsidRDefault="004752E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61AAAEF" w14:textId="77777777" w:rsidR="004752E6" w:rsidRPr="004E3AF6" w:rsidRDefault="004752E6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="00F44B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ser transportado en canastillas plásticas, debidamente estibado, en vehículo aislado, que cuente con sistema de refrigeración, a una temperatura no mayor a 4ºC +/- 2ºC, se deberán mantener controles de temperatura desde el cargue, hasta el momento de la entrega. El producto se mantendrá en condiciones que cumpla con lo estipulad</w:t>
            </w:r>
            <w:r w:rsidR="00F44B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 en la Resolución 2674 de 2013</w:t>
            </w:r>
            <w:r w:rsidR="00F44B8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 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681C694A" w14:textId="77777777" w:rsidR="004752E6" w:rsidRPr="004E3AF6" w:rsidRDefault="004752E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5002D40" w14:textId="77777777" w:rsidR="004752E6" w:rsidRPr="004E3AF6" w:rsidRDefault="004752E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 hasta el momento de la entrega en el Colegio.</w:t>
            </w:r>
          </w:p>
        </w:tc>
      </w:tr>
      <w:tr w:rsidR="004E3AF6" w:rsidRPr="004E3AF6" w14:paraId="1407B0F7" w14:textId="77777777" w:rsidTr="00F44B8E">
        <w:trPr>
          <w:trHeight w:val="1286"/>
        </w:trPr>
        <w:tc>
          <w:tcPr>
            <w:tcW w:w="23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411CD" w14:textId="77777777" w:rsidR="004752E6" w:rsidRPr="004E3AF6" w:rsidRDefault="004752E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E3AF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B8FE2" w14:textId="77777777" w:rsidR="004752E6" w:rsidRPr="004E3AF6" w:rsidRDefault="004752E6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B0BA398" w14:textId="77777777" w:rsidR="004752E6" w:rsidRPr="00F44B8E" w:rsidRDefault="004752E6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44B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F44B8E" w:rsidRPr="00F44B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388FFDE6" w14:textId="77777777" w:rsidR="004752E6" w:rsidRPr="004E3AF6" w:rsidRDefault="004752E6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08"/>
              <w:gridCol w:w="2551"/>
            </w:tblGrid>
            <w:tr w:rsidR="004E3AF6" w:rsidRPr="004E3AF6" w14:paraId="1BAF624B" w14:textId="77777777" w:rsidTr="00F44B8E">
              <w:tc>
                <w:tcPr>
                  <w:tcW w:w="3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vAlign w:val="center"/>
                  <w:hideMark/>
                </w:tcPr>
                <w:p w14:paraId="070C27D1" w14:textId="77777777" w:rsidR="004752E6" w:rsidRPr="00F44B8E" w:rsidRDefault="00F44B8E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  <w:t>Requisitos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vAlign w:val="center"/>
                  <w:hideMark/>
                </w:tcPr>
                <w:p w14:paraId="7860266F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  <w:t>No</w:t>
                  </w:r>
                  <w:r w:rsid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/>
                    </w:rPr>
                    <w:t>rma INVIMA (Gelatina Preparada)</w:t>
                  </w:r>
                </w:p>
              </w:tc>
            </w:tr>
            <w:tr w:rsidR="004E3AF6" w:rsidRPr="004E3AF6" w14:paraId="7F6BC999" w14:textId="77777777" w:rsidTr="004E3AF6">
              <w:tc>
                <w:tcPr>
                  <w:tcW w:w="3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5A955D" w14:textId="77777777" w:rsidR="004752E6" w:rsidRPr="00F44B8E" w:rsidRDefault="004752E6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 ò cm</w:t>
                  </w: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vertAlign w:val="superscript"/>
                    </w:rPr>
                    <w:t>3</w:t>
                  </w: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20DA83" w14:textId="77777777" w:rsidR="004752E6" w:rsidRPr="00F44B8E" w:rsidRDefault="004752E6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1000</w:t>
                  </w:r>
                </w:p>
              </w:tc>
            </w:tr>
            <w:tr w:rsidR="004E3AF6" w:rsidRPr="004E3AF6" w14:paraId="648B1ABA" w14:textId="77777777" w:rsidTr="004E3AF6">
              <w:tc>
                <w:tcPr>
                  <w:tcW w:w="3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21F601" w14:textId="77777777" w:rsidR="004752E6" w:rsidRPr="00F44B8E" w:rsidRDefault="004752E6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 totales NMP/g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E77547" w14:textId="77777777" w:rsidR="004752E6" w:rsidRPr="00F44B8E" w:rsidRDefault="004752E6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&lt;3</w:t>
                  </w:r>
                </w:p>
              </w:tc>
            </w:tr>
            <w:tr w:rsidR="004E3AF6" w:rsidRPr="004E3AF6" w14:paraId="302240CE" w14:textId="77777777" w:rsidTr="004E3AF6">
              <w:tc>
                <w:tcPr>
                  <w:tcW w:w="3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8D4E07" w14:textId="77777777" w:rsidR="004752E6" w:rsidRPr="00F44B8E" w:rsidRDefault="004752E6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 fecales NMP/g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F73112" w14:textId="77777777" w:rsidR="004752E6" w:rsidRPr="00F44B8E" w:rsidRDefault="004752E6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&lt;3</w:t>
                  </w:r>
                </w:p>
              </w:tc>
            </w:tr>
            <w:tr w:rsidR="004E3AF6" w:rsidRPr="004E3AF6" w14:paraId="19D8FFFD" w14:textId="77777777" w:rsidTr="004E3AF6">
              <w:tc>
                <w:tcPr>
                  <w:tcW w:w="3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1CDA55" w14:textId="77777777" w:rsidR="004752E6" w:rsidRPr="00F44B8E" w:rsidRDefault="004752E6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esporas </w:t>
                  </w:r>
                  <w:r w:rsidRPr="00F44B8E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Clostridium</w:t>
                  </w: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sulfito reductor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F0AAE5" w14:textId="77777777" w:rsidR="004752E6" w:rsidRPr="00F44B8E" w:rsidRDefault="004752E6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&lt;10</w:t>
                  </w:r>
                </w:p>
              </w:tc>
            </w:tr>
            <w:tr w:rsidR="004E3AF6" w:rsidRPr="004E3AF6" w14:paraId="509B600E" w14:textId="77777777" w:rsidTr="004E3AF6">
              <w:tc>
                <w:tcPr>
                  <w:tcW w:w="3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E15CDC" w14:textId="77777777" w:rsidR="004752E6" w:rsidRPr="00F44B8E" w:rsidRDefault="004752E6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Mohos y Levaduras (UFC/g ò cm</w:t>
                  </w: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vertAlign w:val="superscript"/>
                    </w:rPr>
                    <w:t>3</w:t>
                  </w:r>
                  <w:r w:rsidRPr="00F44B8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4367E" w14:textId="77777777" w:rsidR="004752E6" w:rsidRPr="00F44B8E" w:rsidRDefault="004752E6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100</w:t>
                  </w:r>
                </w:p>
              </w:tc>
            </w:tr>
          </w:tbl>
          <w:p w14:paraId="73C0E295" w14:textId="77777777" w:rsidR="004752E6" w:rsidRPr="004E3AF6" w:rsidRDefault="004752E6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9C164BD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B42952F" w14:textId="77777777" w:rsidR="004752E6" w:rsidRPr="00F44B8E" w:rsidRDefault="004752E6" w:rsidP="00F44B8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44B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6461DC7A" w14:textId="77777777" w:rsidR="004752E6" w:rsidRPr="004E3AF6" w:rsidRDefault="004752E6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847"/>
              <w:gridCol w:w="675"/>
              <w:gridCol w:w="701"/>
              <w:gridCol w:w="631"/>
              <w:gridCol w:w="1077"/>
              <w:gridCol w:w="793"/>
              <w:gridCol w:w="687"/>
            </w:tblGrid>
            <w:tr w:rsidR="004E3AF6" w:rsidRPr="004E3AF6" w14:paraId="2F79916B" w14:textId="77777777" w:rsidTr="00F44B8E">
              <w:trPr>
                <w:trHeight w:val="300"/>
              </w:trPr>
              <w:tc>
                <w:tcPr>
                  <w:tcW w:w="7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9541B33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6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AA43610" w14:textId="77777777" w:rsidR="004752E6" w:rsidRPr="00F44B8E" w:rsidRDefault="004752E6" w:rsidP="00A631F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A631F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8BAE90B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558B0DAE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298BF60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GRASAS </w:t>
                  </w:r>
                </w:p>
                <w:p w14:paraId="48F2A6AF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TRANS (g)</w:t>
                  </w:r>
                </w:p>
              </w:tc>
              <w:tc>
                <w:tcPr>
                  <w:tcW w:w="8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FF15521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085B8665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A3F7508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4E3AF6" w:rsidRPr="004E3AF6" w14:paraId="02FC0A6E" w14:textId="77777777" w:rsidTr="00F44B8E">
              <w:trPr>
                <w:trHeight w:val="630"/>
              </w:trPr>
              <w:tc>
                <w:tcPr>
                  <w:tcW w:w="7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CC83B8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60 - 80</w:t>
                  </w:r>
                </w:p>
              </w:tc>
              <w:tc>
                <w:tcPr>
                  <w:tcW w:w="6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E61F7A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0.8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4529245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C219CA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4764211D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757415B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732883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17,6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5E501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  <w:p w14:paraId="1B8F5924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15</w:t>
                  </w:r>
                </w:p>
              </w:tc>
              <w:tc>
                <w:tcPr>
                  <w:tcW w:w="5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5B84A1" w14:textId="77777777" w:rsidR="004752E6" w:rsidRPr="00F44B8E" w:rsidRDefault="004752E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44B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50</w:t>
                  </w:r>
                </w:p>
              </w:tc>
            </w:tr>
          </w:tbl>
          <w:p w14:paraId="1A28CDB1" w14:textId="77777777" w:rsidR="004752E6" w:rsidRPr="004E3AF6" w:rsidRDefault="004752E6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highlight w:val="yellow"/>
              </w:rPr>
            </w:pPr>
          </w:p>
          <w:p w14:paraId="2A67CDD4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B501647" w14:textId="77777777" w:rsidR="004752E6" w:rsidRPr="004E3AF6" w:rsidRDefault="004752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4B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="00F44B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g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elatina, trozos de fruta en conserva, aromas artificiales, edulcorantes naturales o artificiales, colorantes y saborizantes, que al ser diluida con agua caliente y posteriormente sometida a refrigeración se puede consumir como postre listo para el consumo.</w:t>
            </w:r>
          </w:p>
          <w:p w14:paraId="7A73A0F1" w14:textId="77777777" w:rsidR="004752E6" w:rsidRPr="004E3AF6" w:rsidRDefault="004752E6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0F24732" w14:textId="77777777" w:rsidR="004752E6" w:rsidRPr="004E3AF6" w:rsidRDefault="004752E6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44B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</w:t>
            </w: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Se permite la adición de aditivos, autorizados en la normatividad sanitaria vigente.</w:t>
            </w:r>
          </w:p>
          <w:p w14:paraId="29A21691" w14:textId="77777777" w:rsidR="004752E6" w:rsidRPr="004E3AF6" w:rsidRDefault="004752E6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A488481" w14:textId="77777777" w:rsidR="004752E6" w:rsidRPr="004E3AF6" w:rsidRDefault="004752E6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4B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tiempo de duración sanitaria es determinado por el fabricante mediante los estudios de vida útil.  El producto debe ser entregado con mínimo el 50% de su vida útil al proveedor logístico.</w:t>
            </w:r>
          </w:p>
          <w:p w14:paraId="5B101BCF" w14:textId="77777777" w:rsidR="004752E6" w:rsidRPr="004E3AF6" w:rsidRDefault="004752E6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</w:tc>
      </w:tr>
      <w:tr w:rsidR="004E3AF6" w:rsidRPr="004E3AF6" w14:paraId="547A6656" w14:textId="77777777" w:rsidTr="00F44B8E">
        <w:trPr>
          <w:trHeight w:val="619"/>
        </w:trPr>
        <w:tc>
          <w:tcPr>
            <w:tcW w:w="23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1CA244" w14:textId="77777777" w:rsidR="004752E6" w:rsidRPr="004E3AF6" w:rsidRDefault="004752E6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E3AF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9B677" w14:textId="77777777" w:rsidR="004752E6" w:rsidRPr="004E3AF6" w:rsidRDefault="004752E6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529A9B5" w14:textId="77777777" w:rsidR="004752E6" w:rsidRPr="004E3AF6" w:rsidRDefault="004752E6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4B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empaque primario debe cumplir cabalmente con las especificaciones técnicas establecidas en la Resolución 683 de 2012</w:t>
            </w:r>
            <w:r w:rsidR="00F44B8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</w:t>
            </w:r>
          </w:p>
          <w:p w14:paraId="4A603A41" w14:textId="77777777" w:rsidR="004752E6" w:rsidRPr="004E3AF6" w:rsidRDefault="004752E6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8A79D9D" w14:textId="77777777" w:rsidR="004752E6" w:rsidRPr="004E3AF6" w:rsidRDefault="004752E6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ser empacado en vaso de poliestireno o polipropileno en las presentaciones establecidas en la ficha, con tapa foil de aluminio termosellado, grado alimenticio, inerte, que no genere migraciones de componentes al producto, resistente, </w:t>
            </w:r>
            <w:r w:rsidR="00126A9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al oxígeno y a la humedad, que mantenga las características higiénicas, microbiológicas, sensoriales y fisicoquímica del producto, debe ser resistente al sellado y fundido, deberá ser resistente a la impresión flexográfica y fabricado con materiales amigables con el medio ambiente.</w:t>
            </w:r>
          </w:p>
          <w:p w14:paraId="01566D40" w14:textId="77777777" w:rsidR="004752E6" w:rsidRPr="004E3AF6" w:rsidRDefault="004752E6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BA9E23A" w14:textId="77777777" w:rsidR="004752E6" w:rsidRPr="004E3AF6" w:rsidRDefault="004752E6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deberá garantizar cuchara plástica que facilite el consumo del producto.</w:t>
            </w:r>
          </w:p>
          <w:p w14:paraId="6F58AAD4" w14:textId="77777777" w:rsidR="004752E6" w:rsidRPr="004E3AF6" w:rsidRDefault="004752E6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79E71A4" w14:textId="77777777" w:rsidR="004752E6" w:rsidRPr="004E3AF6" w:rsidRDefault="004752E6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44B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Pr="004E3AF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: 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en la Resolución 5109 de 2005, Resolución 333 de 2011 del Ministerio de Protección social en el caso que aplique y las demás normas que modifiquen, sustituyan o adicionen la reglamentación mencionada una vez entren en vigencia.</w:t>
            </w:r>
          </w:p>
        </w:tc>
      </w:tr>
      <w:tr w:rsidR="004E3AF6" w:rsidRPr="004E3AF6" w14:paraId="5E7DED08" w14:textId="77777777" w:rsidTr="00F44B8E">
        <w:trPr>
          <w:trHeight w:val="1065"/>
        </w:trPr>
        <w:tc>
          <w:tcPr>
            <w:tcW w:w="23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4CF33" w14:textId="77777777" w:rsidR="004752E6" w:rsidRPr="004E3AF6" w:rsidRDefault="004752E6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E3AF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2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DCF31" w14:textId="77777777" w:rsidR="004752E6" w:rsidRPr="004E3AF6" w:rsidRDefault="004752E6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282416D" w14:textId="60195779" w:rsidR="004752E6" w:rsidRPr="004E3AF6" w:rsidRDefault="004752E6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mínimo </w:t>
            </w:r>
            <w:r w:rsidR="00E2409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90 g</w:t>
            </w:r>
          </w:p>
          <w:p w14:paraId="7A14B608" w14:textId="473D98BE" w:rsidR="004752E6" w:rsidRPr="004E3AF6" w:rsidRDefault="004752E6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mínimo</w:t>
            </w:r>
            <w:r w:rsidR="00E2409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90 g</w:t>
            </w:r>
          </w:p>
          <w:p w14:paraId="07983D08" w14:textId="21199E6C" w:rsidR="004752E6" w:rsidRPr="004E3AF6" w:rsidRDefault="004752E6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mínimo</w:t>
            </w:r>
            <w:r w:rsidR="00E2409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</w:t>
            </w:r>
            <w:r w:rsidRPr="004E3AF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90 g</w:t>
            </w:r>
          </w:p>
          <w:p w14:paraId="766A1393" w14:textId="77777777" w:rsidR="004752E6" w:rsidRPr="004E3AF6" w:rsidRDefault="004752E6">
            <w:pPr>
              <w:tabs>
                <w:tab w:val="left" w:pos="7740"/>
              </w:tabs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1FFB24D9" w14:textId="77777777" w:rsidR="004752E6" w:rsidRDefault="004752E6" w:rsidP="004752E6">
      <w:pPr>
        <w:jc w:val="both"/>
        <w:rPr>
          <w:rFonts w:ascii="Arial" w:hAnsi="Arial" w:cs="Arial"/>
          <w:b/>
          <w:sz w:val="22"/>
          <w:szCs w:val="22"/>
        </w:rPr>
      </w:pPr>
    </w:p>
    <w:p w14:paraId="00C1639D" w14:textId="77777777" w:rsidR="00F44B8E" w:rsidRDefault="00F44B8E" w:rsidP="00F44B8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16173C27" w14:textId="77777777" w:rsidR="00F44B8E" w:rsidRPr="008E12CB" w:rsidRDefault="00F44B8E" w:rsidP="00F44B8E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146B6DE7" w14:textId="77777777" w:rsidR="00F44B8E" w:rsidRPr="008E12CB" w:rsidRDefault="00F44B8E" w:rsidP="00F44B8E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: Los ingredientes que aparecen en la presente </w:t>
      </w:r>
      <w:bookmarkStart w:id="0" w:name="_GoBack"/>
      <w:bookmarkEnd w:id="0"/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7863EBB4" w14:textId="77777777" w:rsidR="00F44B8E" w:rsidRPr="008E12CB" w:rsidRDefault="00F44B8E" w:rsidP="00F44B8E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2C56441A" w14:textId="77777777" w:rsidR="00F44B8E" w:rsidRDefault="00F44B8E" w:rsidP="00F44B8E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4BBB8A7F" w14:textId="77777777" w:rsidR="009A67BC" w:rsidRPr="004752E6" w:rsidRDefault="009A67BC" w:rsidP="00625DE1"/>
    <w:sectPr w:rsidR="009A67BC" w:rsidRPr="004752E6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FF186" w14:textId="77777777" w:rsidR="00CE7DB9" w:rsidRDefault="00CE7DB9" w:rsidP="004F2C35">
      <w:r>
        <w:separator/>
      </w:r>
    </w:p>
  </w:endnote>
  <w:endnote w:type="continuationSeparator" w:id="0">
    <w:p w14:paraId="04B18976" w14:textId="77777777" w:rsidR="00CE7DB9" w:rsidRDefault="00CE7DB9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EA222" w14:textId="77777777" w:rsidR="00C50D27" w:rsidRDefault="00C50D27">
    <w:pPr>
      <w:pStyle w:val="Piedepgina"/>
      <w:jc w:val="right"/>
    </w:pPr>
  </w:p>
  <w:p w14:paraId="34DEA5C1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CB9C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086DF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308F4" w14:textId="77777777" w:rsidR="00CE7DB9" w:rsidRDefault="00CE7DB9" w:rsidP="004F2C35">
      <w:r>
        <w:separator/>
      </w:r>
    </w:p>
  </w:footnote>
  <w:footnote w:type="continuationSeparator" w:id="0">
    <w:p w14:paraId="408B60DE" w14:textId="77777777" w:rsidR="00CE7DB9" w:rsidRDefault="00CE7DB9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77B7C" w14:textId="77777777" w:rsidR="006D761F" w:rsidRDefault="006D761F" w:rsidP="006D761F">
    <w:pPr>
      <w:pStyle w:val="Encabezado"/>
      <w:jc w:val="right"/>
      <w:rPr>
        <w:b/>
      </w:rPr>
    </w:pPr>
  </w:p>
  <w:p w14:paraId="3E3910D9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7DA70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A83C889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CB12568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7E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E6"/>
    <w:rsid w:val="00091E6B"/>
    <w:rsid w:val="000D7CD2"/>
    <w:rsid w:val="00126A9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2C7E59"/>
    <w:rsid w:val="00305CEF"/>
    <w:rsid w:val="0034024E"/>
    <w:rsid w:val="003E173E"/>
    <w:rsid w:val="00474EDE"/>
    <w:rsid w:val="004752E6"/>
    <w:rsid w:val="004B1B0F"/>
    <w:rsid w:val="004E3AF6"/>
    <w:rsid w:val="004F2C35"/>
    <w:rsid w:val="005225E0"/>
    <w:rsid w:val="00572706"/>
    <w:rsid w:val="0059060F"/>
    <w:rsid w:val="00625DE1"/>
    <w:rsid w:val="0065617D"/>
    <w:rsid w:val="006A63AE"/>
    <w:rsid w:val="006D761F"/>
    <w:rsid w:val="007212F3"/>
    <w:rsid w:val="0074509F"/>
    <w:rsid w:val="00751787"/>
    <w:rsid w:val="007C1BAD"/>
    <w:rsid w:val="008562D1"/>
    <w:rsid w:val="008A1A6F"/>
    <w:rsid w:val="008A71EC"/>
    <w:rsid w:val="009008F6"/>
    <w:rsid w:val="009A67BC"/>
    <w:rsid w:val="009B26E4"/>
    <w:rsid w:val="00A06874"/>
    <w:rsid w:val="00A34836"/>
    <w:rsid w:val="00A631F5"/>
    <w:rsid w:val="00B11CD8"/>
    <w:rsid w:val="00B30435"/>
    <w:rsid w:val="00C2579D"/>
    <w:rsid w:val="00C50D27"/>
    <w:rsid w:val="00C81483"/>
    <w:rsid w:val="00CE6594"/>
    <w:rsid w:val="00CE7DB9"/>
    <w:rsid w:val="00D67F6F"/>
    <w:rsid w:val="00E24097"/>
    <w:rsid w:val="00E66CC3"/>
    <w:rsid w:val="00EB47F3"/>
    <w:rsid w:val="00F26DC2"/>
    <w:rsid w:val="00F311BA"/>
    <w:rsid w:val="00F44B8E"/>
    <w:rsid w:val="00F452AF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FE389C"/>
  <w15:chartTrackingRefBased/>
  <w15:docId w15:val="{F32DEB25-7F29-4F66-9302-196B7A68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5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4752E6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8687B-7D60-43F5-B280-3479D425E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872B5A-D80E-45CB-9D49-A6E66CEA87D8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99cf77a6-9fdf-48f0-bab1-4f9db627116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A5ACCBC-E3EF-42BA-9A66-83D3BE650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49C028-1B7C-4DCB-94FF-DD8C20A3A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6E5253D5</Template>
  <TotalTime>48</TotalTime>
  <Pages>3</Pages>
  <Words>1116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Margareth Jaramillo Echeverry</cp:lastModifiedBy>
  <cp:revision>8</cp:revision>
  <cp:lastPrinted>2017-09-28T22:28:00Z</cp:lastPrinted>
  <dcterms:created xsi:type="dcterms:W3CDTF">2018-04-10T20:51:00Z</dcterms:created>
  <dcterms:modified xsi:type="dcterms:W3CDTF">2018-05-23T19:43:00Z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