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6984" w14:textId="77777777" w:rsidR="001A08D1" w:rsidRPr="00752CF7" w:rsidRDefault="001A08D1" w:rsidP="001A08D1">
      <w:pPr>
        <w:pStyle w:val="Encabezado"/>
        <w:rPr>
          <w:rFonts w:ascii="Arial" w:hAnsi="Arial" w:cs="Arial"/>
          <w:sz w:val="22"/>
        </w:rPr>
      </w:pPr>
      <w:bookmarkStart w:id="0" w:name="_GoBack"/>
      <w:bookmarkEnd w:id="0"/>
    </w:p>
    <w:tbl>
      <w:tblPr>
        <w:tblW w:w="9371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7879"/>
      </w:tblGrid>
      <w:tr w:rsidR="001A08D1" w:rsidRPr="001A08D1" w14:paraId="52D6D769" w14:textId="77777777" w:rsidTr="001A08D1">
        <w:trPr>
          <w:trHeight w:val="721"/>
        </w:trPr>
        <w:tc>
          <w:tcPr>
            <w:tcW w:w="280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6BA5B" w14:textId="77777777" w:rsidR="001A08D1" w:rsidRPr="001A08D1" w:rsidRDefault="001A08D1" w:rsidP="00AA5E7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1A08D1">
              <w:rPr>
                <w:rFonts w:cstheme="minorHAnsi"/>
                <w:b/>
                <w:bCs/>
                <w:color w:val="FFFFFF" w:themeColor="background1"/>
                <w:sz w:val="20"/>
                <w:szCs w:val="20"/>
                <w:u w:val="single"/>
              </w:rPr>
              <w:t>Nombre del alimento</w:t>
            </w:r>
          </w:p>
        </w:tc>
        <w:tc>
          <w:tcPr>
            <w:tcW w:w="6571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C800E3" w14:textId="77777777" w:rsidR="001A08D1" w:rsidRPr="001A08D1" w:rsidRDefault="001A08D1" w:rsidP="00AA5E76">
            <w:pPr>
              <w:ind w:right="214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1A08D1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Paleta de agua con fruta de diferentes sabores (fresa, piña, lulo, limón, mora).</w:t>
            </w:r>
          </w:p>
        </w:tc>
      </w:tr>
      <w:tr w:rsidR="001A08D1" w:rsidRPr="001A08D1" w14:paraId="43BFA583" w14:textId="77777777" w:rsidTr="001A08D1">
        <w:trPr>
          <w:trHeight w:val="721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2B3E9" w14:textId="77777777" w:rsidR="001A08D1" w:rsidRPr="001A08D1" w:rsidRDefault="001A08D1" w:rsidP="001435EA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A08D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CA02D" w14:textId="77777777" w:rsidR="001A08D1" w:rsidRPr="001A08D1" w:rsidRDefault="001A08D1" w:rsidP="001435EA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Debe cumplir la siguiente normatividad: </w:t>
            </w:r>
          </w:p>
          <w:p w14:paraId="04E9B079" w14:textId="77777777" w:rsidR="001A08D1" w:rsidRPr="001A08D1" w:rsidRDefault="001A08D1" w:rsidP="001435EA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423C86F" w14:textId="77777777" w:rsidR="001A08D1" w:rsidRPr="002673F9" w:rsidRDefault="001A08D1" w:rsidP="001A08D1">
            <w:pPr>
              <w:numPr>
                <w:ilvl w:val="0"/>
                <w:numId w:val="5"/>
              </w:num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Resolución 2674 de 2013 expedida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por el Ministerio de Salud y Protección Social.</w:t>
            </w:r>
          </w:p>
          <w:p w14:paraId="3BCCFFD3" w14:textId="77777777" w:rsidR="001A08D1" w:rsidRPr="001A08D1" w:rsidRDefault="001A08D1" w:rsidP="001A08D1">
            <w:pPr>
              <w:numPr>
                <w:ilvl w:val="0"/>
                <w:numId w:val="4"/>
              </w:num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NTC 1239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Helados y mezclas para helados</w:t>
            </w:r>
          </w:p>
          <w:p w14:paraId="427F0FA7" w14:textId="77777777" w:rsidR="001A08D1" w:rsidRPr="002673F9" w:rsidRDefault="001A08D1" w:rsidP="001A08D1">
            <w:pPr>
              <w:numPr>
                <w:ilvl w:val="0"/>
                <w:numId w:val="5"/>
              </w:num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1F8856E2" w14:textId="77777777" w:rsidR="001A08D1" w:rsidRPr="002673F9" w:rsidRDefault="001A08D1" w:rsidP="001A08D1">
            <w:pPr>
              <w:numPr>
                <w:ilvl w:val="0"/>
                <w:numId w:val="5"/>
              </w:num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Resolución 333 de 20112005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4C79CE14" w14:textId="77777777" w:rsidR="001A08D1" w:rsidRPr="002673F9" w:rsidRDefault="001A08D1" w:rsidP="001A08D1">
            <w:pPr>
              <w:numPr>
                <w:ilvl w:val="0"/>
                <w:numId w:val="5"/>
              </w:num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Resolución 10593 de 1985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7E3B505" w14:textId="77777777" w:rsidR="001A08D1" w:rsidRPr="001A08D1" w:rsidRDefault="001A08D1" w:rsidP="001435EA">
            <w:pPr>
              <w:ind w:left="720"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75A48643" w14:textId="77777777" w:rsidR="001A08D1" w:rsidRPr="001A08D1" w:rsidRDefault="001A08D1" w:rsidP="001435EA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1A08D1" w:rsidRPr="001A08D1" w14:paraId="383844B4" w14:textId="77777777" w:rsidTr="001A08D1">
        <w:trPr>
          <w:trHeight w:val="496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D5F18" w14:textId="77777777" w:rsidR="001A08D1" w:rsidRPr="001A08D1" w:rsidRDefault="001A08D1" w:rsidP="001435EA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A08D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5E0A8" w14:textId="77777777" w:rsidR="001A08D1" w:rsidRPr="001A08D1" w:rsidRDefault="001A08D1" w:rsidP="001435E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eastAsia="es-CO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Producto alimenticio, higienizado, edulcorado, obtenido a partir de una mezcla de agua potable, azúcares y otros ingredientes y aditivos permitidos sometidos a congelamiento, en condiciones tales que garanticen la conservación del producto en estado congelado durante su almacenamiento, transporte y consumo final.</w:t>
            </w:r>
          </w:p>
        </w:tc>
      </w:tr>
      <w:tr w:rsidR="001A08D1" w:rsidRPr="001A08D1" w14:paraId="1C12345E" w14:textId="77777777" w:rsidTr="001A08D1">
        <w:trPr>
          <w:trHeight w:val="435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B085A8" w14:textId="77777777" w:rsidR="001A08D1" w:rsidRPr="001A08D1" w:rsidRDefault="001A08D1" w:rsidP="001435EA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A08D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0456D2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Producto fabricado con agua potable, adicionado con frutas o productos a base de fruta, en una cantidad mínima del 10% m/m de fruta natural, a excepción del limón cuya cantidad mínima es del 5 % m/m. </w:t>
            </w:r>
          </w:p>
          <w:p w14:paraId="5D83997E" w14:textId="77777777" w:rsidR="001A08D1" w:rsidRPr="001A08D1" w:rsidRDefault="001A08D1" w:rsidP="001435EA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CA4637F" w14:textId="77777777" w:rsidR="001A08D1" w:rsidRPr="001A08D1" w:rsidRDefault="001A08D1" w:rsidP="001435EA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El producto debe lleva una pala o palo (madera o acrílico) para sostenerlo.</w:t>
            </w:r>
          </w:p>
          <w:p w14:paraId="6989C81D" w14:textId="77777777" w:rsidR="001A08D1" w:rsidRPr="001A08D1" w:rsidRDefault="001A08D1" w:rsidP="001435EA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65CEFD97" w14:textId="77777777" w:rsidR="001A08D1" w:rsidRPr="00AA5E76" w:rsidRDefault="001A08D1" w:rsidP="001435EA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</w:pPr>
            <w:r w:rsidRPr="00AA5E7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AA5E76"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50E369C3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3F5D4ADC" w14:textId="77777777" w:rsidR="001A08D1" w:rsidRPr="001A08D1" w:rsidRDefault="001A08D1" w:rsidP="001A08F9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Conservación: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A569A"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l producto debe conservarse a temperatura de congelación mínima de -25ºC en canastillas plásticas o cajas de cartón corrugado y sobre estibas, de la tal manera que se conserven las características inherentes del producto.</w:t>
            </w:r>
          </w:p>
          <w:p w14:paraId="790DBEC6" w14:textId="77777777" w:rsidR="001A08D1" w:rsidRPr="001A08D1" w:rsidRDefault="001A08D1" w:rsidP="001A08F9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F5C9E81" w14:textId="77777777" w:rsidR="001A08D1" w:rsidRPr="001A08D1" w:rsidRDefault="001A08D1" w:rsidP="001A08F9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Almacenamiento: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A569A"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ste producto debe mantenerse a temperatura de congelación mínima de -25ºC en canastillas plásticas o cajas de cartón corrugado y sobre estibas.  Los cuartos de almacenamiento deben permanecer en buenas condiciones </w:t>
            </w:r>
            <w:r w:rsidR="003A569A" w:rsidRPr="001A08D1">
              <w:rPr>
                <w:rFonts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, y disponer de controles de temperatura. Todo lo anterior según lo establecido en la Resolución 2674 de 2013</w:t>
            </w:r>
            <w:r w:rsidR="00AA5E76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A5E76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AA5E76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3F3975FB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1A700417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A569A"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l vehículo de transporte debe ser aislado y contar con sistema de congelación, de forma que conserve una temperatura mínima de -18ºC en canastillas plásticas o cajas de cartón corrugado y sobre estibas; debe estar estibado y en canastillas plásticas, de conformidad con la Resolución 2674 de 2013</w:t>
            </w:r>
            <w:r w:rsidR="00AA5E76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A5E76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AA5E76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56599B07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69D4FFB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Las temperaturas estipuladas deben conservarse desde la producción del producto, hasta la entrega en las sedes educativas.</w:t>
            </w:r>
          </w:p>
        </w:tc>
      </w:tr>
      <w:tr w:rsidR="001A08D1" w:rsidRPr="001A08D1" w14:paraId="336086DD" w14:textId="77777777" w:rsidTr="001A08D1">
        <w:trPr>
          <w:trHeight w:val="2278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FA802" w14:textId="77777777" w:rsidR="001A08D1" w:rsidRPr="001A08D1" w:rsidRDefault="003A569A" w:rsidP="001435EA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</w:t>
            </w:r>
            <w:r w:rsidR="001A08D1" w:rsidRPr="001A08D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specíficos</w:t>
            </w:r>
          </w:p>
        </w:tc>
        <w:tc>
          <w:tcPr>
            <w:tcW w:w="6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8D0E7F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571F9B3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0852C05" w14:textId="77777777" w:rsidR="001A08D1" w:rsidRPr="003A569A" w:rsidRDefault="001A08D1" w:rsidP="001435EA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A569A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Límites máximos de contaminantes en helados y mezclas para helados:</w:t>
            </w:r>
          </w:p>
          <w:p w14:paraId="4FF691D5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3"/>
              <w:gridCol w:w="2613"/>
            </w:tblGrid>
            <w:tr w:rsidR="003A569A" w:rsidRPr="003A569A" w14:paraId="15D02D0A" w14:textId="77777777" w:rsidTr="003A569A">
              <w:tc>
                <w:tcPr>
                  <w:tcW w:w="3803" w:type="dxa"/>
                  <w:shd w:val="clear" w:color="auto" w:fill="B9B7B7" w:themeFill="accent3" w:themeFillShade="E6"/>
                  <w:vAlign w:val="center"/>
                </w:tcPr>
                <w:p w14:paraId="4145864D" w14:textId="77777777" w:rsidR="001A08D1" w:rsidRPr="003A569A" w:rsidRDefault="003A569A" w:rsidP="003A569A">
                  <w:pPr>
                    <w:ind w:right="71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  <w:t>Requisito</w:t>
                  </w:r>
                </w:p>
              </w:tc>
              <w:tc>
                <w:tcPr>
                  <w:tcW w:w="2613" w:type="dxa"/>
                  <w:shd w:val="clear" w:color="auto" w:fill="B9B7B7" w:themeFill="accent3" w:themeFillShade="E6"/>
                  <w:vAlign w:val="center"/>
                </w:tcPr>
                <w:p w14:paraId="233DFD5C" w14:textId="77777777" w:rsidR="001A08D1" w:rsidRPr="003A569A" w:rsidRDefault="001A08D1" w:rsidP="003A569A">
                  <w:pPr>
                    <w:ind w:right="71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3A569A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  <w:t>Parámetro (NTC 1239)</w:t>
                  </w:r>
                </w:p>
                <w:p w14:paraId="1C2D6D8B" w14:textId="77777777" w:rsidR="001A08D1" w:rsidRPr="003A569A" w:rsidRDefault="001A08D1" w:rsidP="003A569A">
                  <w:pPr>
                    <w:ind w:right="71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3A569A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  <w:t>Límite máximo mg/kg</w:t>
                  </w:r>
                </w:p>
              </w:tc>
            </w:tr>
            <w:tr w:rsidR="001A08D1" w:rsidRPr="003A569A" w14:paraId="4939D942" w14:textId="77777777" w:rsidTr="001435EA">
              <w:tc>
                <w:tcPr>
                  <w:tcW w:w="3803" w:type="dxa"/>
                  <w:shd w:val="clear" w:color="auto" w:fill="auto"/>
                </w:tcPr>
                <w:p w14:paraId="6E5C8D4E" w14:textId="77777777" w:rsidR="001A08D1" w:rsidRPr="003A569A" w:rsidRDefault="001A08D1" w:rsidP="001435EA">
                  <w:pPr>
                    <w:ind w:right="71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  <w:t>Arsénico como As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6FA5DDC6" w14:textId="77777777" w:rsidR="001A08D1" w:rsidRPr="003A569A" w:rsidRDefault="001A08D1" w:rsidP="001435EA">
                  <w:pPr>
                    <w:ind w:right="71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  <w:t>0,5</w:t>
                  </w:r>
                </w:p>
              </w:tc>
            </w:tr>
            <w:tr w:rsidR="001A08D1" w:rsidRPr="003A569A" w14:paraId="523973BA" w14:textId="77777777" w:rsidTr="001435EA">
              <w:tc>
                <w:tcPr>
                  <w:tcW w:w="3803" w:type="dxa"/>
                  <w:shd w:val="clear" w:color="auto" w:fill="auto"/>
                </w:tcPr>
                <w:p w14:paraId="4B509B35" w14:textId="77777777" w:rsidR="001A08D1" w:rsidRPr="003A569A" w:rsidRDefault="001A08D1" w:rsidP="001435EA">
                  <w:pPr>
                    <w:ind w:right="71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  <w:t>Plomo como Pb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6E5F1F1C" w14:textId="77777777" w:rsidR="001A08D1" w:rsidRPr="003A569A" w:rsidRDefault="001A08D1" w:rsidP="001435EA">
                  <w:pPr>
                    <w:ind w:right="71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  <w:t>1,0</w:t>
                  </w:r>
                </w:p>
              </w:tc>
            </w:tr>
          </w:tbl>
          <w:p w14:paraId="01197879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492F5B86" w14:textId="77777777" w:rsidR="001A08D1" w:rsidRPr="003A569A" w:rsidRDefault="001A08D1" w:rsidP="001435EA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A569A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38D70BE8" w14:textId="77777777" w:rsidR="001A08D1" w:rsidRPr="001A08D1" w:rsidRDefault="001A08D1" w:rsidP="001435EA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9"/>
              <w:gridCol w:w="2897"/>
            </w:tblGrid>
            <w:tr w:rsidR="003A569A" w:rsidRPr="003A569A" w14:paraId="64374126" w14:textId="77777777" w:rsidTr="003A569A">
              <w:trPr>
                <w:trHeight w:val="326"/>
              </w:trPr>
              <w:tc>
                <w:tcPr>
                  <w:tcW w:w="3519" w:type="dxa"/>
                  <w:shd w:val="clear" w:color="auto" w:fill="B9B7B7" w:themeFill="accent3" w:themeFillShade="E6"/>
                  <w:vAlign w:val="center"/>
                </w:tcPr>
                <w:p w14:paraId="2CF09BA0" w14:textId="77777777" w:rsidR="001A08D1" w:rsidRPr="003A569A" w:rsidRDefault="003A569A" w:rsidP="003A569A">
                  <w:pPr>
                    <w:ind w:right="71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  <w:t>Requisito</w:t>
                  </w:r>
                </w:p>
              </w:tc>
              <w:tc>
                <w:tcPr>
                  <w:tcW w:w="2897" w:type="dxa"/>
                  <w:shd w:val="clear" w:color="auto" w:fill="B9B7B7" w:themeFill="accent3" w:themeFillShade="E6"/>
                  <w:vAlign w:val="center"/>
                </w:tcPr>
                <w:p w14:paraId="258F0286" w14:textId="77777777" w:rsidR="001A08D1" w:rsidRPr="003A569A" w:rsidRDefault="001A08D1" w:rsidP="003A569A">
                  <w:pPr>
                    <w:ind w:right="71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3A569A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  <w:t>Parámetro (NTC 1239).</w:t>
                  </w:r>
                </w:p>
                <w:p w14:paraId="7A608766" w14:textId="77777777" w:rsidR="001A08D1" w:rsidRPr="003A569A" w:rsidRDefault="001A08D1" w:rsidP="003A569A">
                  <w:pPr>
                    <w:ind w:right="71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</w:p>
              </w:tc>
            </w:tr>
            <w:tr w:rsidR="001A08D1" w:rsidRPr="003A569A" w14:paraId="46778D2F" w14:textId="77777777" w:rsidTr="001435EA">
              <w:tc>
                <w:tcPr>
                  <w:tcW w:w="3519" w:type="dxa"/>
                  <w:shd w:val="clear" w:color="auto" w:fill="auto"/>
                </w:tcPr>
                <w:p w14:paraId="36CB3AA1" w14:textId="77777777" w:rsidR="001A08D1" w:rsidRPr="003A569A" w:rsidRDefault="001A08D1" w:rsidP="001435EA">
                  <w:pPr>
                    <w:ind w:right="71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  <w:t>Solidos totales % m/m, min</w:t>
                  </w:r>
                </w:p>
              </w:tc>
              <w:tc>
                <w:tcPr>
                  <w:tcW w:w="2897" w:type="dxa"/>
                  <w:shd w:val="clear" w:color="auto" w:fill="auto"/>
                </w:tcPr>
                <w:p w14:paraId="2D94F494" w14:textId="77777777" w:rsidR="001A08D1" w:rsidRPr="003A569A" w:rsidRDefault="001A08D1" w:rsidP="001435EA">
                  <w:pPr>
                    <w:ind w:right="71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</w:rPr>
                    <w:t xml:space="preserve">20 </w:t>
                  </w:r>
                </w:p>
              </w:tc>
            </w:tr>
          </w:tbl>
          <w:p w14:paraId="73701F7C" w14:textId="77777777" w:rsidR="001A08D1" w:rsidRPr="001A08D1" w:rsidRDefault="001A08D1" w:rsidP="001435EA">
            <w:pPr>
              <w:ind w:right="214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2F74C8F7" w14:textId="77777777" w:rsidR="001A08D1" w:rsidRPr="003A569A" w:rsidRDefault="001A08D1" w:rsidP="001435EA">
            <w:pPr>
              <w:ind w:right="214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A569A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</w:p>
          <w:p w14:paraId="2E4E7B61" w14:textId="77777777" w:rsidR="001A08D1" w:rsidRPr="001A08D1" w:rsidRDefault="001A08D1" w:rsidP="001435EA">
            <w:pPr>
              <w:ind w:right="214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10"/>
              <w:gridCol w:w="575"/>
              <w:gridCol w:w="1226"/>
              <w:gridCol w:w="1226"/>
              <w:gridCol w:w="584"/>
            </w:tblGrid>
            <w:tr w:rsidR="003A569A" w:rsidRPr="003A569A" w14:paraId="57D89E7F" w14:textId="77777777" w:rsidTr="003A569A">
              <w:tc>
                <w:tcPr>
                  <w:tcW w:w="2810" w:type="dxa"/>
                  <w:shd w:val="clear" w:color="auto" w:fill="B9B7B7" w:themeFill="accent3" w:themeFillShade="E6"/>
                  <w:vAlign w:val="center"/>
                </w:tcPr>
                <w:p w14:paraId="13E0154D" w14:textId="77777777" w:rsidR="001A08D1" w:rsidRPr="003A569A" w:rsidRDefault="003A569A" w:rsidP="001435EA">
                  <w:pPr>
                    <w:ind w:right="214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Requisito</w:t>
                  </w:r>
                </w:p>
              </w:tc>
              <w:tc>
                <w:tcPr>
                  <w:tcW w:w="575" w:type="dxa"/>
                  <w:shd w:val="clear" w:color="auto" w:fill="B9B7B7" w:themeFill="accent3" w:themeFillShade="E6"/>
                  <w:vAlign w:val="center"/>
                </w:tcPr>
                <w:p w14:paraId="169DF561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n</w:t>
                  </w:r>
                </w:p>
              </w:tc>
              <w:tc>
                <w:tcPr>
                  <w:tcW w:w="1226" w:type="dxa"/>
                  <w:shd w:val="clear" w:color="auto" w:fill="B9B7B7" w:themeFill="accent3" w:themeFillShade="E6"/>
                  <w:vAlign w:val="center"/>
                </w:tcPr>
                <w:p w14:paraId="44DB4BE0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m</w:t>
                  </w:r>
                </w:p>
              </w:tc>
              <w:tc>
                <w:tcPr>
                  <w:tcW w:w="1226" w:type="dxa"/>
                  <w:shd w:val="clear" w:color="auto" w:fill="B9B7B7" w:themeFill="accent3" w:themeFillShade="E6"/>
                  <w:vAlign w:val="center"/>
                </w:tcPr>
                <w:p w14:paraId="2BFAAEB6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M</w:t>
                  </w:r>
                </w:p>
              </w:tc>
              <w:tc>
                <w:tcPr>
                  <w:tcW w:w="584" w:type="dxa"/>
                  <w:shd w:val="clear" w:color="auto" w:fill="B9B7B7" w:themeFill="accent3" w:themeFillShade="E6"/>
                  <w:vAlign w:val="center"/>
                </w:tcPr>
                <w:p w14:paraId="4B0D49E4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c</w:t>
                  </w:r>
                </w:p>
              </w:tc>
            </w:tr>
            <w:tr w:rsidR="001A08D1" w:rsidRPr="003A569A" w14:paraId="7EBFE8A9" w14:textId="77777777" w:rsidTr="001435EA">
              <w:tc>
                <w:tcPr>
                  <w:tcW w:w="2810" w:type="dxa"/>
                  <w:shd w:val="clear" w:color="auto" w:fill="auto"/>
                  <w:vAlign w:val="center"/>
                </w:tcPr>
                <w:p w14:paraId="2C4552D8" w14:textId="77777777" w:rsidR="001A08D1" w:rsidRPr="003A569A" w:rsidRDefault="001A08D1" w:rsidP="001435EA">
                  <w:pPr>
                    <w:ind w:right="214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Recuento de microorganismos Mesófilos, UFC/g.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7A87E0BD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5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49C59C4F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10000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3D0A6109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100000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5239640B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2</w:t>
                  </w:r>
                </w:p>
              </w:tc>
            </w:tr>
            <w:tr w:rsidR="001A08D1" w:rsidRPr="003A569A" w14:paraId="03F01705" w14:textId="77777777" w:rsidTr="001435EA">
              <w:tc>
                <w:tcPr>
                  <w:tcW w:w="2810" w:type="dxa"/>
                  <w:shd w:val="clear" w:color="auto" w:fill="auto"/>
                  <w:vAlign w:val="center"/>
                </w:tcPr>
                <w:p w14:paraId="234DA677" w14:textId="77777777" w:rsidR="001A08D1" w:rsidRPr="003A569A" w:rsidRDefault="001A08D1" w:rsidP="001435EA">
                  <w:pPr>
                    <w:ind w:right="214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Recuento de Coliformes, UFC/g.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74F7DB80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5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63ACA726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100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71953B23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200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050AA1DC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2</w:t>
                  </w:r>
                </w:p>
              </w:tc>
            </w:tr>
            <w:tr w:rsidR="001A08D1" w:rsidRPr="003A569A" w14:paraId="6949B65F" w14:textId="77777777" w:rsidTr="001435EA">
              <w:tc>
                <w:tcPr>
                  <w:tcW w:w="2810" w:type="dxa"/>
                  <w:shd w:val="clear" w:color="auto" w:fill="auto"/>
                  <w:vAlign w:val="center"/>
                </w:tcPr>
                <w:p w14:paraId="2CAFC0BB" w14:textId="77777777" w:rsidR="001A08D1" w:rsidRPr="003A569A" w:rsidRDefault="001A08D1" w:rsidP="001435EA">
                  <w:pPr>
                    <w:ind w:right="214"/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Recuento de </w:t>
                  </w:r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E. </w:t>
                  </w:r>
                  <w:proofErr w:type="spellStart"/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>Coli</w:t>
                  </w:r>
                  <w:proofErr w:type="spellEnd"/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>,</w:t>
                  </w: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 UFC/g.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6D819C53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5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2057068E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&lt;1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45A3265D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---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1F03A124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</w:tr>
            <w:tr w:rsidR="001A08D1" w:rsidRPr="003A569A" w14:paraId="2DCFA6A3" w14:textId="77777777" w:rsidTr="001435EA">
              <w:tc>
                <w:tcPr>
                  <w:tcW w:w="2810" w:type="dxa"/>
                  <w:shd w:val="clear" w:color="auto" w:fill="auto"/>
                  <w:vAlign w:val="center"/>
                </w:tcPr>
                <w:p w14:paraId="4BE6419D" w14:textId="77777777" w:rsidR="001A08D1" w:rsidRPr="003A569A" w:rsidRDefault="001A08D1" w:rsidP="001435EA">
                  <w:pPr>
                    <w:ind w:right="214"/>
                    <w:jc w:val="both"/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Recuento de </w:t>
                  </w:r>
                  <w:proofErr w:type="spellStart"/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>Staphylococcus</w:t>
                  </w:r>
                  <w:proofErr w:type="spellEnd"/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 </w:t>
                  </w:r>
                  <w:proofErr w:type="spellStart"/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>aureus</w:t>
                  </w:r>
                  <w:proofErr w:type="spellEnd"/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 coagulasa </w:t>
                  </w: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positiva,</w:t>
                  </w:r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 </w:t>
                  </w: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UFC/g.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5B6FFB7A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5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720F502F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100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084053F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200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73CA2A8F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2</w:t>
                  </w:r>
                </w:p>
              </w:tc>
            </w:tr>
            <w:tr w:rsidR="001A08D1" w:rsidRPr="003A569A" w14:paraId="6D329870" w14:textId="77777777" w:rsidTr="001435EA">
              <w:tc>
                <w:tcPr>
                  <w:tcW w:w="2810" w:type="dxa"/>
                  <w:shd w:val="clear" w:color="auto" w:fill="auto"/>
                  <w:vAlign w:val="center"/>
                </w:tcPr>
                <w:p w14:paraId="12388A44" w14:textId="77777777" w:rsidR="001A08D1" w:rsidRPr="003A569A" w:rsidRDefault="001A08D1" w:rsidP="001435EA">
                  <w:pPr>
                    <w:ind w:right="214"/>
                    <w:jc w:val="both"/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proofErr w:type="spellStart"/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Deteccion</w:t>
                  </w:r>
                  <w:proofErr w:type="spellEnd"/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 de </w:t>
                  </w:r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>Salmonela/25g.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1E1D1E62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5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E235A9C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0D57F7AE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----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02C57BFF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</w:tr>
            <w:tr w:rsidR="001A08D1" w:rsidRPr="003A569A" w14:paraId="3966F0D7" w14:textId="77777777" w:rsidTr="001435EA">
              <w:tc>
                <w:tcPr>
                  <w:tcW w:w="2810" w:type="dxa"/>
                  <w:shd w:val="clear" w:color="auto" w:fill="auto"/>
                  <w:vAlign w:val="center"/>
                </w:tcPr>
                <w:p w14:paraId="490EE05F" w14:textId="77777777" w:rsidR="001A08D1" w:rsidRPr="003A569A" w:rsidRDefault="001A08D1" w:rsidP="001435EA">
                  <w:pPr>
                    <w:ind w:right="214"/>
                    <w:jc w:val="both"/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Detección de </w:t>
                  </w:r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Listeria </w:t>
                  </w:r>
                  <w:proofErr w:type="spellStart"/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>monocytogenes</w:t>
                  </w:r>
                  <w:proofErr w:type="spellEnd"/>
                  <w:r w:rsidRPr="003A569A">
                    <w:rPr>
                      <w:rFonts w:cstheme="minorHAnsi"/>
                      <w:i/>
                      <w:color w:val="4E4D4D" w:themeColor="background2"/>
                      <w:sz w:val="16"/>
                      <w:szCs w:val="20"/>
                      <w:lang w:val="es-CO"/>
                    </w:rPr>
                    <w:t>/25g.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5AC28BA1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5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747387A3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0F27647D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-----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7546D504" w14:textId="77777777" w:rsidR="001A08D1" w:rsidRPr="003A569A" w:rsidRDefault="001A08D1" w:rsidP="001435EA">
                  <w:pPr>
                    <w:ind w:right="214"/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3A569A">
                    <w:rPr>
                      <w:rFonts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</w:tr>
          </w:tbl>
          <w:p w14:paraId="3D3241A5" w14:textId="77777777" w:rsidR="001A08D1" w:rsidRPr="001A08D1" w:rsidRDefault="001A08D1" w:rsidP="001435EA">
            <w:pPr>
              <w:ind w:right="214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4C0D331A" w14:textId="77777777" w:rsidR="001A08D1" w:rsidRDefault="001A08D1" w:rsidP="001435EA">
            <w:pPr>
              <w:pStyle w:val="Prrafodelista"/>
              <w:widowControl w:val="0"/>
              <w:autoSpaceDE w:val="0"/>
              <w:autoSpaceDN w:val="0"/>
              <w:adjustRightInd w:val="0"/>
              <w:ind w:left="0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A569A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316E5652" w14:textId="77777777" w:rsidR="00532F5B" w:rsidRDefault="00532F5B" w:rsidP="001435EA">
            <w:pPr>
              <w:pStyle w:val="Prrafodelista"/>
              <w:widowControl w:val="0"/>
              <w:autoSpaceDE w:val="0"/>
              <w:autoSpaceDN w:val="0"/>
              <w:adjustRightInd w:val="0"/>
              <w:ind w:left="0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948"/>
              <w:gridCol w:w="1033"/>
              <w:gridCol w:w="738"/>
              <w:gridCol w:w="1002"/>
              <w:gridCol w:w="815"/>
              <w:gridCol w:w="1461"/>
              <w:gridCol w:w="994"/>
              <w:gridCol w:w="738"/>
            </w:tblGrid>
            <w:tr w:rsidR="00532F5B" w14:paraId="3C66AC37" w14:textId="77777777" w:rsidTr="005D0CE7">
              <w:tc>
                <w:tcPr>
                  <w:tcW w:w="948" w:type="dxa"/>
                  <w:vAlign w:val="center"/>
                </w:tcPr>
                <w:p w14:paraId="70F25483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1033" w:type="dxa"/>
                  <w:vAlign w:val="center"/>
                </w:tcPr>
                <w:p w14:paraId="1BA125CB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PROTEÍNAS (g)</w:t>
                  </w:r>
                </w:p>
              </w:tc>
              <w:tc>
                <w:tcPr>
                  <w:tcW w:w="722" w:type="dxa"/>
                  <w:vAlign w:val="center"/>
                </w:tcPr>
                <w:p w14:paraId="1033AE7F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1002" w:type="dxa"/>
                  <w:vAlign w:val="center"/>
                </w:tcPr>
                <w:p w14:paraId="29B9F822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815" w:type="dxa"/>
                  <w:vAlign w:val="center"/>
                </w:tcPr>
                <w:p w14:paraId="5E70FA74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1461" w:type="dxa"/>
                  <w:vAlign w:val="center"/>
                </w:tcPr>
                <w:p w14:paraId="2F4526A2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eastAsia="MS Mincho" w:hAnsi="Arial" w:cs="Arial"/>
                      <w:b/>
                      <w:sz w:val="14"/>
                      <w:szCs w:val="14"/>
                    </w:rPr>
                    <w:t>CARBOHIDRATOS (g)</w:t>
                  </w:r>
                </w:p>
              </w:tc>
              <w:tc>
                <w:tcPr>
                  <w:tcW w:w="994" w:type="dxa"/>
                  <w:vAlign w:val="center"/>
                </w:tcPr>
                <w:p w14:paraId="0AE7DD50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668" w:type="dxa"/>
                  <w:vAlign w:val="center"/>
                </w:tcPr>
                <w:p w14:paraId="7C21EBF9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SODIO</w:t>
                  </w:r>
                  <w:r w:rsidRPr="008D785E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532F5B" w14:paraId="376F9A20" w14:textId="77777777" w:rsidTr="00532F5B">
              <w:tc>
                <w:tcPr>
                  <w:tcW w:w="948" w:type="dxa"/>
                </w:tcPr>
                <w:p w14:paraId="49E97E17" w14:textId="238C25C5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80 - 1</w:t>
                  </w:r>
                  <w:r w:rsidR="00F3097E">
                    <w:rPr>
                      <w:rFonts w:ascii="Arial" w:hAnsi="Arial" w:cs="Arial"/>
                      <w:b/>
                      <w:sz w:val="14"/>
                      <w:szCs w:val="14"/>
                    </w:rPr>
                    <w:t>1</w:t>
                  </w: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0</w:t>
                  </w:r>
                </w:p>
              </w:tc>
              <w:tc>
                <w:tcPr>
                  <w:tcW w:w="1033" w:type="dxa"/>
                </w:tcPr>
                <w:p w14:paraId="1D971678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Mínimo 0</w:t>
                  </w:r>
                </w:p>
              </w:tc>
              <w:tc>
                <w:tcPr>
                  <w:tcW w:w="722" w:type="dxa"/>
                </w:tcPr>
                <w:p w14:paraId="4845B277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Máximo 0,2</w:t>
                  </w:r>
                </w:p>
              </w:tc>
              <w:tc>
                <w:tcPr>
                  <w:tcW w:w="1002" w:type="dxa"/>
                </w:tcPr>
                <w:p w14:paraId="34DC53E7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Máximo 0</w:t>
                  </w:r>
                </w:p>
              </w:tc>
              <w:tc>
                <w:tcPr>
                  <w:tcW w:w="815" w:type="dxa"/>
                </w:tcPr>
                <w:p w14:paraId="038B8223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Máximo 0</w:t>
                  </w:r>
                </w:p>
              </w:tc>
              <w:tc>
                <w:tcPr>
                  <w:tcW w:w="1461" w:type="dxa"/>
                </w:tcPr>
                <w:p w14:paraId="1A0C3B8E" w14:textId="5291B1AF" w:rsidR="00532F5B" w:rsidRDefault="00532F5B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Máximo 2</w:t>
                  </w:r>
                  <w:r w:rsidR="00F3097E">
                    <w:rPr>
                      <w:rFonts w:ascii="Arial" w:hAnsi="Arial" w:cs="Arial"/>
                      <w:b/>
                      <w:sz w:val="14"/>
                      <w:szCs w:val="14"/>
                    </w:rPr>
                    <w:t>7</w:t>
                  </w: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,6</w:t>
                  </w:r>
                </w:p>
              </w:tc>
              <w:tc>
                <w:tcPr>
                  <w:tcW w:w="994" w:type="dxa"/>
                </w:tcPr>
                <w:p w14:paraId="62556AF6" w14:textId="3A5A6C7A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Máximo 2</w:t>
                  </w:r>
                  <w:r w:rsidR="00F3097E">
                    <w:rPr>
                      <w:rFonts w:ascii="Arial" w:hAnsi="Arial" w:cs="Arial"/>
                      <w:b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668" w:type="dxa"/>
                </w:tcPr>
                <w:p w14:paraId="01F537F0" w14:textId="77777777" w:rsidR="00532F5B" w:rsidRDefault="00532F5B" w:rsidP="005D0CE7">
                  <w:pPr>
                    <w:pStyle w:val="Prrafodelista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8D785E">
                    <w:rPr>
                      <w:rFonts w:ascii="Arial" w:hAnsi="Arial" w:cs="Arial"/>
                      <w:b/>
                      <w:sz w:val="14"/>
                      <w:szCs w:val="14"/>
                    </w:rPr>
                    <w:t>Máximo 10</w:t>
                  </w:r>
                </w:p>
              </w:tc>
            </w:tr>
          </w:tbl>
          <w:p w14:paraId="4F789059" w14:textId="77777777" w:rsidR="00532F5B" w:rsidRPr="003A569A" w:rsidRDefault="00532F5B" w:rsidP="001435EA">
            <w:pPr>
              <w:pStyle w:val="Prrafodelista"/>
              <w:widowControl w:val="0"/>
              <w:autoSpaceDE w:val="0"/>
              <w:autoSpaceDN w:val="0"/>
              <w:adjustRightInd w:val="0"/>
              <w:ind w:left="0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5F468531" w14:textId="77777777" w:rsidR="001A08D1" w:rsidRPr="001A08D1" w:rsidRDefault="001A08D1" w:rsidP="001435EA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2F7080FE" w14:textId="77777777" w:rsidR="001A08D1" w:rsidRPr="001A08D1" w:rsidRDefault="001A08D1" w:rsidP="001435E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0A116219" w14:textId="77777777" w:rsidR="001A08D1" w:rsidRPr="001A08D1" w:rsidRDefault="001A08D1" w:rsidP="001435E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AA5E7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AA5E76"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A5E76">
              <w:rPr>
                <w:rFonts w:cstheme="minorHAnsi"/>
                <w:color w:val="4E4D4D" w:themeColor="background2"/>
                <w:sz w:val="20"/>
                <w:szCs w:val="20"/>
              </w:rPr>
              <w:t>a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gua potable, frutas, azúcar. </w:t>
            </w:r>
          </w:p>
          <w:p w14:paraId="57ED1A0B" w14:textId="77777777" w:rsidR="001A08D1" w:rsidRPr="001A08D1" w:rsidRDefault="001A08D1" w:rsidP="001435E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3E0D0458" w14:textId="77777777" w:rsidR="001A08D1" w:rsidRPr="001A08D1" w:rsidRDefault="001A08D1" w:rsidP="001435E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AA5E7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="00AA5E76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l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os aditivos permitidos por la legislación sanitaria vigente. </w:t>
            </w:r>
          </w:p>
          <w:p w14:paraId="146C7079" w14:textId="77777777" w:rsidR="001A08D1" w:rsidRPr="001A08D1" w:rsidRDefault="001A08D1" w:rsidP="001435EA">
            <w:pPr>
              <w:autoSpaceDE w:val="0"/>
              <w:autoSpaceDN w:val="0"/>
              <w:adjustRightInd w:val="0"/>
              <w:ind w:right="214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p w14:paraId="1F2396E5" w14:textId="77777777" w:rsidR="001A08D1" w:rsidRPr="001A08D1" w:rsidRDefault="001A08D1" w:rsidP="001A08F9">
            <w:pPr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  <w:r w:rsidRPr="00AA5E7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AA5E76"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A569A"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 En el momento del suministro el producto debe ser entregado con mínimo el 50% de su vida útil bajo condiciones adecuadas de almacenamiento en congelación (mínimo -25ºC). La Fecha de vencimiento debe ir impresa en el rótulo del empaque.</w:t>
            </w:r>
          </w:p>
        </w:tc>
      </w:tr>
      <w:tr w:rsidR="001A08D1" w:rsidRPr="001A08D1" w14:paraId="2DCBC399" w14:textId="77777777" w:rsidTr="001A08D1">
        <w:trPr>
          <w:trHeight w:val="619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2A48E" w14:textId="77777777" w:rsidR="001A08D1" w:rsidRPr="001A08D1" w:rsidRDefault="003A569A" w:rsidP="001435EA">
            <w:pPr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A08D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</w:t>
            </w:r>
            <w:r w:rsidR="001A08D1" w:rsidRPr="001A08D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rotulado</w:t>
            </w:r>
          </w:p>
        </w:tc>
        <w:tc>
          <w:tcPr>
            <w:tcW w:w="6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F8E03" w14:textId="77777777" w:rsidR="001A08D1" w:rsidRPr="001A08D1" w:rsidRDefault="001A08D1" w:rsidP="001435EA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El empaque primario debe cumplir cabalmente con las especificaciones técnicas establecidas en la Resolución 683 de 2012</w:t>
            </w:r>
            <w:r w:rsidR="00AA5E76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A5E76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1A08F9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permeable a la luz, gases y a la humedad, que mantenga las características asépticas, microbiológicas, sensoriales y fisicoquímicas del producto, debe ser resistente al sellado y fundido, debe ser resistente a la impresión </w:t>
            </w:r>
            <w:proofErr w:type="spellStart"/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 garantizar la integridad aséptica, microbiológica, sensorial y fisicoquímica del producto.</w:t>
            </w:r>
          </w:p>
          <w:p w14:paraId="2CC7EC4C" w14:textId="77777777" w:rsidR="001A08D1" w:rsidRPr="001A08D1" w:rsidRDefault="001A08D1" w:rsidP="001435EA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0CC0E5F8" w14:textId="77777777" w:rsidR="001A08D1" w:rsidRPr="001A08D1" w:rsidRDefault="001A08D1" w:rsidP="001435EA">
            <w:pPr>
              <w:autoSpaceDE w:val="0"/>
              <w:autoSpaceDN w:val="0"/>
              <w:adjustRightInd w:val="0"/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AA5E76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Rotulado</w:t>
            </w:r>
            <w:r w:rsidR="00AA5E76">
              <w:rPr>
                <w:rFonts w:cstheme="minorHAnsi"/>
                <w:color w:val="4E4D4D" w:themeColor="background2"/>
                <w:sz w:val="20"/>
                <w:szCs w:val="20"/>
              </w:rPr>
              <w:t>: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A5E76">
              <w:rPr>
                <w:rFonts w:cstheme="minorHAnsi"/>
                <w:color w:val="4E4D4D" w:themeColor="background2"/>
                <w:sz w:val="20"/>
                <w:szCs w:val="20"/>
              </w:rPr>
              <w:t>e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l rotulado, debe contener la información establecida en la Resolución 5109 de 2005 y Resolución 333 de 2011 </w:t>
            </w:r>
            <w:r w:rsidR="00412907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si aplica al producto </w:t>
            </w:r>
            <w:r w:rsidR="001A08F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1A08F9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en el caso que lo requiera y las demás normas que modifiquen, sustituyan o adicionen la reglamentación mencionada una vez entren en vigencia.</w:t>
            </w:r>
          </w:p>
          <w:p w14:paraId="5F432413" w14:textId="77777777" w:rsidR="001A08D1" w:rsidRPr="001A08D1" w:rsidRDefault="001A08D1" w:rsidP="001435EA">
            <w:pPr>
              <w:autoSpaceDE w:val="0"/>
              <w:autoSpaceDN w:val="0"/>
              <w:adjustRightInd w:val="0"/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1A08D1" w:rsidRPr="001A08D1" w14:paraId="4999EAB9" w14:textId="77777777" w:rsidTr="001A08D1">
        <w:trPr>
          <w:trHeight w:val="1065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B7E20" w14:textId="77777777" w:rsidR="001A08D1" w:rsidRPr="001A08D1" w:rsidRDefault="001A08D1" w:rsidP="001435EA">
            <w:pPr>
              <w:tabs>
                <w:tab w:val="left" w:pos="7740"/>
              </w:tabs>
              <w:jc w:val="center"/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A08D1">
              <w:rPr>
                <w:rFonts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27EA6" w14:textId="00A69662" w:rsidR="001A08D1" w:rsidRPr="001A08D1" w:rsidRDefault="001A08D1" w:rsidP="001435EA">
            <w:pPr>
              <w:tabs>
                <w:tab w:val="left" w:pos="7740"/>
              </w:tabs>
              <w:ind w:right="214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A Unidad </w:t>
            </w:r>
            <w:r w:rsidR="00AE1955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mínimo </w:t>
            </w:r>
            <w:proofErr w:type="gramStart"/>
            <w:r w:rsidR="00AE1955">
              <w:rPr>
                <w:rFonts w:cstheme="minorHAnsi"/>
                <w:color w:val="4E4D4D" w:themeColor="background2"/>
                <w:sz w:val="20"/>
                <w:szCs w:val="20"/>
              </w:rPr>
              <w:t>x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 70</w:t>
            </w:r>
            <w:proofErr w:type="gramEnd"/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g</w:t>
            </w:r>
          </w:p>
          <w:p w14:paraId="1A8164DF" w14:textId="6C87CA42" w:rsidR="001A08D1" w:rsidRPr="001A08D1" w:rsidRDefault="001A08D1" w:rsidP="001435EA">
            <w:pPr>
              <w:tabs>
                <w:tab w:val="left" w:pos="7740"/>
              </w:tabs>
              <w:ind w:right="214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Refrigerio Tipo B Unidad</w:t>
            </w:r>
            <w:r w:rsidR="00AE1955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mínimo </w:t>
            </w:r>
            <w:proofErr w:type="gramStart"/>
            <w:r w:rsidR="00AE1955">
              <w:rPr>
                <w:rFonts w:cstheme="minorHAnsi"/>
                <w:color w:val="4E4D4D" w:themeColor="background2"/>
                <w:sz w:val="20"/>
                <w:szCs w:val="20"/>
              </w:rPr>
              <w:t>x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 70</w:t>
            </w:r>
            <w:proofErr w:type="gramEnd"/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g</w:t>
            </w:r>
          </w:p>
          <w:p w14:paraId="71078C2F" w14:textId="30672942" w:rsidR="001A08D1" w:rsidRPr="001A08D1" w:rsidRDefault="001A08D1">
            <w:pPr>
              <w:tabs>
                <w:tab w:val="left" w:pos="7740"/>
              </w:tabs>
              <w:ind w:right="214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C Unidad </w:t>
            </w:r>
            <w:r w:rsidR="00AE1955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mínimo </w:t>
            </w:r>
            <w:proofErr w:type="gramStart"/>
            <w:r w:rsidR="00AE1955">
              <w:rPr>
                <w:rFonts w:cstheme="minorHAnsi"/>
                <w:color w:val="4E4D4D" w:themeColor="background2"/>
                <w:sz w:val="20"/>
                <w:szCs w:val="20"/>
              </w:rPr>
              <w:t>x</w:t>
            </w:r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 70</w:t>
            </w:r>
            <w:proofErr w:type="gramEnd"/>
            <w:r w:rsidRPr="001A08D1">
              <w:rPr>
                <w:rFonts w:cstheme="minorHAnsi"/>
                <w:color w:val="4E4D4D" w:themeColor="background2"/>
                <w:sz w:val="20"/>
                <w:szCs w:val="20"/>
              </w:rPr>
              <w:t>g</w:t>
            </w:r>
          </w:p>
        </w:tc>
      </w:tr>
    </w:tbl>
    <w:p w14:paraId="30CE9A98" w14:textId="77777777" w:rsidR="001A08D1" w:rsidRPr="00752CF7" w:rsidRDefault="001A08D1" w:rsidP="001A08D1">
      <w:pPr>
        <w:tabs>
          <w:tab w:val="left" w:pos="7740"/>
        </w:tabs>
        <w:jc w:val="both"/>
        <w:rPr>
          <w:rFonts w:ascii="Arial" w:hAnsi="Arial" w:cs="Arial"/>
          <w:sz w:val="22"/>
        </w:rPr>
      </w:pPr>
    </w:p>
    <w:p w14:paraId="010D7577" w14:textId="77777777" w:rsidR="00AA5E76" w:rsidRDefault="00AA5E76" w:rsidP="00AA5E76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1034420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7C600B34" w14:textId="77777777" w:rsidR="001A08D1" w:rsidRPr="00E5668C" w:rsidRDefault="001A08D1" w:rsidP="001A08D1">
      <w:pPr>
        <w:jc w:val="both"/>
        <w:rPr>
          <w:rFonts w:ascii="Arial" w:hAnsi="Arial" w:cs="Arial"/>
          <w:sz w:val="22"/>
        </w:rPr>
      </w:pPr>
    </w:p>
    <w:p w14:paraId="0B9AB3D8" w14:textId="77777777" w:rsidR="001A08D1" w:rsidRPr="00AA5E76" w:rsidRDefault="001A08D1" w:rsidP="00AA5E76">
      <w:pPr>
        <w:pStyle w:val="Prrafodelista"/>
        <w:autoSpaceDE w:val="0"/>
        <w:autoSpaceDN w:val="0"/>
        <w:ind w:left="0" w:right="49"/>
        <w:jc w:val="both"/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</w:pPr>
      <w:r w:rsidRPr="00AA5E76"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 xml:space="preserve">NOTA 2: </w:t>
      </w:r>
      <w:r w:rsidR="00AA5E76"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>l</w:t>
      </w:r>
      <w:r w:rsidRPr="00AA5E76"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>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48F21E57" w14:textId="77777777" w:rsidR="001A08D1" w:rsidRPr="00E5668C" w:rsidRDefault="001A08D1" w:rsidP="001A08D1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sz w:val="22"/>
          <w:lang w:val="es-CO"/>
        </w:rPr>
      </w:pPr>
    </w:p>
    <w:p w14:paraId="0B82C447" w14:textId="77777777" w:rsidR="001A08D1" w:rsidRPr="00AA5E76" w:rsidRDefault="001A08D1" w:rsidP="00AA5E76">
      <w:pPr>
        <w:pStyle w:val="Prrafodelista"/>
        <w:autoSpaceDE w:val="0"/>
        <w:autoSpaceDN w:val="0"/>
        <w:ind w:left="0" w:right="49"/>
        <w:jc w:val="both"/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</w:pPr>
      <w:r w:rsidRPr="00AA5E76"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 xml:space="preserve">NOTA 3: </w:t>
      </w:r>
      <w:r w:rsidR="00AA5E76"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>e</w:t>
      </w:r>
      <w:r w:rsidR="00DA167E"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>n caso tal que el P</w:t>
      </w:r>
      <w:r w:rsidRPr="00AA5E76"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>roveedor adjudicatario, oferte un producto con ingredientes o aditivos adicionales a los mínimos requeridos en la Ficha Técnica; el contratista será quien asumirá los costos adicionales generados por las características agregadas al producto. Es decir, la Entidad no reconocerá ningún costo adicional a los requisitos mínimos determinados en la Ficha Técnica del producto.</w:t>
      </w:r>
      <w:r w:rsidRPr="00AA5E76"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 xml:space="preserve"> </w:t>
      </w:r>
    </w:p>
    <w:p w14:paraId="32B09503" w14:textId="77777777" w:rsidR="001A08D1" w:rsidRPr="00AA5E76" w:rsidRDefault="001A08D1" w:rsidP="00AA5E76">
      <w:pPr>
        <w:pStyle w:val="Prrafodelista"/>
        <w:autoSpaceDE w:val="0"/>
        <w:autoSpaceDN w:val="0"/>
        <w:ind w:left="0" w:right="49"/>
        <w:jc w:val="both"/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</w:pPr>
    </w:p>
    <w:p w14:paraId="3B5156ED" w14:textId="77777777" w:rsidR="00AA5E76" w:rsidRPr="003422FE" w:rsidRDefault="00AA5E76" w:rsidP="00AA5E76">
      <w:pPr>
        <w:tabs>
          <w:tab w:val="left" w:pos="7740"/>
        </w:tabs>
        <w:jc w:val="both"/>
        <w:rPr>
          <w:rFonts w:ascii="Arial" w:hAnsi="Arial" w:cs="Arial"/>
          <w:sz w:val="22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3A809CD6" w14:textId="77777777" w:rsidR="001A08D1" w:rsidRPr="00AA5E76" w:rsidRDefault="00AA5E76" w:rsidP="00AA5E76">
      <w:pPr>
        <w:pStyle w:val="Prrafodelista"/>
        <w:autoSpaceDE w:val="0"/>
        <w:autoSpaceDN w:val="0"/>
        <w:ind w:left="0" w:right="49"/>
        <w:jc w:val="both"/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</w:pPr>
      <w:r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>.</w:t>
      </w:r>
    </w:p>
    <w:bookmarkEnd w:id="1"/>
    <w:p w14:paraId="730D964E" w14:textId="77777777" w:rsidR="001A08D1" w:rsidRPr="006743EE" w:rsidRDefault="003375E7" w:rsidP="00AA5E76">
      <w:pPr>
        <w:pStyle w:val="Prrafodelista"/>
        <w:autoSpaceDE w:val="0"/>
        <w:autoSpaceDN w:val="0"/>
        <w:ind w:left="0" w:right="49"/>
        <w:jc w:val="both"/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</w:pPr>
      <w:r w:rsidRPr="003375E7"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>NOTA</w:t>
      </w:r>
      <w:r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 xml:space="preserve"> 5</w:t>
      </w:r>
      <w:r w:rsidRPr="003375E7">
        <w:rPr>
          <w:rFonts w:ascii="Arial" w:eastAsia="Times New Roman" w:hAnsi="Arial" w:cs="Arial"/>
          <w:b/>
          <w:color w:val="4E4D4D" w:themeColor="background2"/>
          <w:sz w:val="20"/>
          <w:szCs w:val="20"/>
          <w:lang w:val="es-CO" w:eastAsia="es-ES"/>
        </w:rPr>
        <w:t xml:space="preserve">: </w:t>
      </w:r>
      <w:r w:rsidRPr="006743EE">
        <w:rPr>
          <w:rFonts w:ascii="Arial" w:eastAsia="Times New Roman" w:hAnsi="Arial" w:cs="Arial"/>
          <w:color w:val="4E4D4D" w:themeColor="background2"/>
          <w:sz w:val="20"/>
          <w:szCs w:val="20"/>
          <w:lang w:val="es-CO" w:eastAsia="es-ES"/>
        </w:rPr>
        <w:t>se permite la entrega de al menos dos sabores de los establecidos para el producto paleta de agua con fruta.</w:t>
      </w:r>
    </w:p>
    <w:p w14:paraId="6B4C22FF" w14:textId="77777777" w:rsidR="001A08D1" w:rsidRPr="00E5668C" w:rsidRDefault="001A08D1" w:rsidP="001A08D1">
      <w:pPr>
        <w:tabs>
          <w:tab w:val="left" w:pos="7740"/>
        </w:tabs>
        <w:jc w:val="both"/>
        <w:rPr>
          <w:rFonts w:ascii="Arial" w:hAnsi="Arial" w:cs="Arial"/>
          <w:sz w:val="22"/>
        </w:rPr>
      </w:pPr>
    </w:p>
    <w:p w14:paraId="62E789CB" w14:textId="77777777" w:rsidR="001A08D1" w:rsidRPr="00E5668C" w:rsidRDefault="001A08D1" w:rsidP="001A08D1">
      <w:pPr>
        <w:tabs>
          <w:tab w:val="left" w:pos="7740"/>
        </w:tabs>
        <w:jc w:val="both"/>
        <w:rPr>
          <w:rFonts w:ascii="Arial" w:hAnsi="Arial" w:cs="Arial"/>
          <w:sz w:val="22"/>
        </w:rPr>
      </w:pPr>
    </w:p>
    <w:p w14:paraId="679E2602" w14:textId="77777777" w:rsidR="001A08D1" w:rsidRDefault="001A08D1" w:rsidP="001A08D1">
      <w:pPr>
        <w:tabs>
          <w:tab w:val="left" w:pos="7740"/>
        </w:tabs>
        <w:jc w:val="both"/>
        <w:rPr>
          <w:rFonts w:ascii="Arial" w:hAnsi="Arial" w:cs="Arial"/>
          <w:sz w:val="22"/>
        </w:rPr>
      </w:pPr>
    </w:p>
    <w:p w14:paraId="3924FED5" w14:textId="77777777" w:rsidR="001A08D1" w:rsidRPr="00752CF7" w:rsidRDefault="001A08D1" w:rsidP="001A08D1">
      <w:pPr>
        <w:rPr>
          <w:rFonts w:ascii="Arial" w:hAnsi="Arial" w:cs="Arial"/>
          <w:sz w:val="22"/>
        </w:rPr>
      </w:pPr>
    </w:p>
    <w:p w14:paraId="5B50FEA1" w14:textId="77777777" w:rsidR="009A67BC" w:rsidRPr="001A08D1" w:rsidRDefault="009A67BC" w:rsidP="001A08D1"/>
    <w:sectPr w:rsidR="009A67BC" w:rsidRPr="001A08D1" w:rsidSect="0034024E">
      <w:head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CE668" w14:textId="77777777" w:rsidR="00AA5FA4" w:rsidRDefault="00AA5FA4" w:rsidP="004F2C35">
      <w:r>
        <w:separator/>
      </w:r>
    </w:p>
  </w:endnote>
  <w:endnote w:type="continuationSeparator" w:id="0">
    <w:p w14:paraId="06101334" w14:textId="77777777" w:rsidR="00AA5FA4" w:rsidRDefault="00AA5FA4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3DF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14A3ED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17CE2" w14:textId="77777777" w:rsidR="00AA5FA4" w:rsidRDefault="00AA5FA4" w:rsidP="004F2C35">
      <w:r>
        <w:separator/>
      </w:r>
    </w:p>
  </w:footnote>
  <w:footnote w:type="continuationSeparator" w:id="0">
    <w:p w14:paraId="7580D65F" w14:textId="77777777" w:rsidR="00AA5FA4" w:rsidRDefault="00AA5FA4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13635" w14:textId="77777777" w:rsidR="006D761F" w:rsidRDefault="006D761F" w:rsidP="006D761F">
    <w:pPr>
      <w:pStyle w:val="Encabezado"/>
      <w:jc w:val="right"/>
      <w:rPr>
        <w:b/>
      </w:rPr>
    </w:pPr>
  </w:p>
  <w:p w14:paraId="249991A2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48F91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E5486C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2BC2E5EB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54B15"/>
    <w:multiLevelType w:val="hybridMultilevel"/>
    <w:tmpl w:val="6A7EC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D1"/>
    <w:rsid w:val="00091E6B"/>
    <w:rsid w:val="000D7CD2"/>
    <w:rsid w:val="0014591D"/>
    <w:rsid w:val="00154ECB"/>
    <w:rsid w:val="00181D75"/>
    <w:rsid w:val="001A08D1"/>
    <w:rsid w:val="001A08F9"/>
    <w:rsid w:val="001A1B68"/>
    <w:rsid w:val="001A547C"/>
    <w:rsid w:val="001A5E22"/>
    <w:rsid w:val="001C6359"/>
    <w:rsid w:val="001C75B3"/>
    <w:rsid w:val="001D32CE"/>
    <w:rsid w:val="001D7612"/>
    <w:rsid w:val="001F7199"/>
    <w:rsid w:val="002535A9"/>
    <w:rsid w:val="0026038D"/>
    <w:rsid w:val="00305CEF"/>
    <w:rsid w:val="003375E7"/>
    <w:rsid w:val="0034024E"/>
    <w:rsid w:val="003A569A"/>
    <w:rsid w:val="003E173E"/>
    <w:rsid w:val="00412907"/>
    <w:rsid w:val="00474EDE"/>
    <w:rsid w:val="004B1B0F"/>
    <w:rsid w:val="004F2C35"/>
    <w:rsid w:val="005225E0"/>
    <w:rsid w:val="00532F5B"/>
    <w:rsid w:val="0059060F"/>
    <w:rsid w:val="005D0CE7"/>
    <w:rsid w:val="0065617D"/>
    <w:rsid w:val="0066325F"/>
    <w:rsid w:val="006743EE"/>
    <w:rsid w:val="006A63AE"/>
    <w:rsid w:val="006D761F"/>
    <w:rsid w:val="007212F3"/>
    <w:rsid w:val="00751787"/>
    <w:rsid w:val="007C1BAD"/>
    <w:rsid w:val="008056C6"/>
    <w:rsid w:val="008A1A6F"/>
    <w:rsid w:val="008A71EC"/>
    <w:rsid w:val="009A67BC"/>
    <w:rsid w:val="009B26E4"/>
    <w:rsid w:val="00A06874"/>
    <w:rsid w:val="00A34836"/>
    <w:rsid w:val="00AA5E76"/>
    <w:rsid w:val="00AA5FA4"/>
    <w:rsid w:val="00AE1955"/>
    <w:rsid w:val="00B11CD8"/>
    <w:rsid w:val="00B30435"/>
    <w:rsid w:val="00BD4A78"/>
    <w:rsid w:val="00C2579D"/>
    <w:rsid w:val="00C50D27"/>
    <w:rsid w:val="00C81483"/>
    <w:rsid w:val="00D67F6F"/>
    <w:rsid w:val="00DA167E"/>
    <w:rsid w:val="00E66CC3"/>
    <w:rsid w:val="00EB47F3"/>
    <w:rsid w:val="00EC6397"/>
    <w:rsid w:val="00F3097E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502228"/>
  <w15:chartTrackingRefBased/>
  <w15:docId w15:val="{8B9C81FC-43AC-44A8-97F4-0EF60D10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874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1A08D1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AC973-CB20-4A0A-A610-370343DC9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F4D3FD-7829-4791-A036-9D094874D0FE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99cf77a6-9fdf-48f0-bab1-4f9db627116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5851E0-9808-4D53-B77C-A0564FBDE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A7E354-EA3E-4927-9832-922344DF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2BF910B0.dotm</Template>
  <TotalTime>92</TotalTime>
  <Pages>3</Pages>
  <Words>1040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Jaramillo Echeverry</dc:creator>
  <cp:keywords/>
  <dc:description/>
  <cp:lastModifiedBy>Ingrid Natalia Quiroga Fagua</cp:lastModifiedBy>
  <cp:revision>12</cp:revision>
  <cp:lastPrinted>2017-09-28T22:28:00Z</cp:lastPrinted>
  <dcterms:created xsi:type="dcterms:W3CDTF">2018-04-09T14:53:00Z</dcterms:created>
  <dcterms:modified xsi:type="dcterms:W3CDTF">2018-05-23T14:48:00Z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