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2D96FB" w14:textId="77777777" w:rsidR="0034024E" w:rsidRDefault="0034024E" w:rsidP="0034024E">
      <w:pPr>
        <w:rPr>
          <w:rFonts w:ascii="Arial" w:hAnsi="Arial" w:cs="Arial"/>
          <w:color w:val="4D4D4D"/>
          <w:sz w:val="19"/>
          <w:szCs w:val="19"/>
        </w:rPr>
      </w:pPr>
      <w:bookmarkStart w:id="0" w:name="_GoBack"/>
      <w:bookmarkEnd w:id="0"/>
    </w:p>
    <w:tbl>
      <w:tblPr>
        <w:tblW w:w="9371" w:type="dxa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2"/>
        <w:gridCol w:w="6879"/>
      </w:tblGrid>
      <w:tr w:rsidR="00D5405A" w:rsidRPr="00D5405A" w14:paraId="78AA3ACB" w14:textId="77777777" w:rsidTr="00D5405A">
        <w:trPr>
          <w:trHeight w:val="721"/>
        </w:trPr>
        <w:tc>
          <w:tcPr>
            <w:tcW w:w="2492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060296" w14:textId="77777777" w:rsidR="00D5405A" w:rsidRPr="00D5405A" w:rsidRDefault="00D5405A" w:rsidP="00D5405A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879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E0171" w14:textId="06F1C5D2" w:rsidR="00D5405A" w:rsidRPr="00D5405A" w:rsidRDefault="00D5405A" w:rsidP="00D5405A">
            <w:pPr>
              <w:autoSpaceDE w:val="0"/>
              <w:autoSpaceDN w:val="0"/>
              <w:adjustRightInd w:val="0"/>
              <w:ind w:right="214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highlight w:val="magenta"/>
              </w:rPr>
            </w:pPr>
            <w:r w:rsidRPr="00D5405A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shd w:val="clear" w:color="auto" w:fill="4E4D4D" w:themeFill="background2"/>
                <w:lang w:val="es-CO"/>
              </w:rPr>
              <w:t>Piña porcionada empacada al vac</w:t>
            </w:r>
            <w:r w:rsidR="00635674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shd w:val="clear" w:color="auto" w:fill="4E4D4D" w:themeFill="background2"/>
                <w:lang w:val="es-CO"/>
              </w:rPr>
              <w:t>í</w:t>
            </w:r>
            <w:r w:rsidRPr="00D5405A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shd w:val="clear" w:color="auto" w:fill="4E4D4D" w:themeFill="background2"/>
                <w:lang w:val="es-CO"/>
              </w:rPr>
              <w:t>o (variedad</w:t>
            </w:r>
            <w:r w:rsidRPr="00D5405A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lang w:val="es-CO"/>
              </w:rPr>
              <w:t>: Golden</w:t>
            </w:r>
            <w:r w:rsidRPr="00D5405A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4043D2">
              <w:rPr>
                <w:rFonts w:asciiTheme="minorHAnsi" w:hAnsiTheme="minorHAnsi" w:cstheme="minorHAnsi"/>
                <w:b/>
                <w:i/>
                <w:color w:val="FFFFFF" w:themeColor="background1"/>
                <w:sz w:val="20"/>
                <w:szCs w:val="20"/>
              </w:rPr>
              <w:t>Sw</w:t>
            </w:r>
            <w:r w:rsidR="004043D2">
              <w:rPr>
                <w:rFonts w:asciiTheme="minorHAnsi" w:hAnsiTheme="minorHAnsi" w:cstheme="minorHAnsi"/>
                <w:b/>
                <w:i/>
                <w:color w:val="FFFFFF" w:themeColor="background1"/>
                <w:sz w:val="20"/>
                <w:szCs w:val="20"/>
              </w:rPr>
              <w:t>e</w:t>
            </w:r>
            <w:r w:rsidRPr="004043D2">
              <w:rPr>
                <w:rFonts w:asciiTheme="minorHAnsi" w:hAnsiTheme="minorHAnsi" w:cstheme="minorHAnsi"/>
                <w:b/>
                <w:i/>
                <w:color w:val="FFFFFF" w:themeColor="background1"/>
                <w:sz w:val="20"/>
                <w:szCs w:val="20"/>
              </w:rPr>
              <w:t>et</w:t>
            </w:r>
            <w:r w:rsidRPr="00D5405A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o MD2)</w:t>
            </w:r>
          </w:p>
        </w:tc>
      </w:tr>
      <w:tr w:rsidR="00D5405A" w:rsidRPr="00D5405A" w14:paraId="3C5E5769" w14:textId="77777777" w:rsidTr="00D5405A">
        <w:trPr>
          <w:trHeight w:val="721"/>
        </w:trPr>
        <w:tc>
          <w:tcPr>
            <w:tcW w:w="249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9E6992" w14:textId="77777777" w:rsidR="00D5405A" w:rsidRPr="00D5405A" w:rsidRDefault="00D5405A" w:rsidP="007A0CF3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5405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8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44C834" w14:textId="77777777" w:rsidR="00D5405A" w:rsidRPr="00D5405A" w:rsidRDefault="00D5405A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7EC13546" w14:textId="77777777" w:rsidR="00D5405A" w:rsidRPr="00D5405A" w:rsidRDefault="00D5405A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525BC15" w14:textId="77777777" w:rsidR="00D5405A" w:rsidRPr="00D5405A" w:rsidRDefault="00D5405A" w:rsidP="00D5405A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23AD62FF" w14:textId="77777777" w:rsidR="00D5405A" w:rsidRPr="00D5405A" w:rsidRDefault="00D5405A" w:rsidP="00D5405A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4DBBA3A8" w14:textId="77777777" w:rsidR="00D5405A" w:rsidRPr="00D5405A" w:rsidRDefault="00D5405A" w:rsidP="00D5405A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328247C3" w14:textId="77777777" w:rsidR="00D5405A" w:rsidRPr="00D5405A" w:rsidRDefault="00D5405A" w:rsidP="00D5405A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NTC 729</w:t>
            </w:r>
          </w:p>
          <w:p w14:paraId="4B07D49D" w14:textId="77777777" w:rsidR="00D5405A" w:rsidRPr="00D5405A" w:rsidRDefault="00D5405A" w:rsidP="00D5405A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3929 de 2013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06745D89" w14:textId="77777777" w:rsidR="00D5405A" w:rsidRPr="00D5405A" w:rsidRDefault="00D5405A" w:rsidP="00D5405A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2906 de 2007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393503B9" w14:textId="3F623B93" w:rsidR="00D5405A" w:rsidRPr="00D5405A" w:rsidRDefault="00D5405A" w:rsidP="00D5405A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INVIMA ensaladas frutas </w:t>
            </w:r>
            <w:r w:rsidR="00BC6AF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verduras </w:t>
            </w:r>
          </w:p>
          <w:p w14:paraId="41DC9777" w14:textId="77777777" w:rsidR="00D5405A" w:rsidRPr="00D5405A" w:rsidRDefault="00D5405A" w:rsidP="007A0CF3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6AB801B" w14:textId="77777777" w:rsidR="00D5405A" w:rsidRPr="00D5405A" w:rsidRDefault="00D5405A" w:rsidP="007A0CF3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D5405A" w:rsidRPr="00D5405A" w14:paraId="0179381D" w14:textId="77777777" w:rsidTr="00D5405A">
        <w:trPr>
          <w:trHeight w:val="869"/>
        </w:trPr>
        <w:tc>
          <w:tcPr>
            <w:tcW w:w="249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4C3B8D" w14:textId="77777777" w:rsidR="00D5405A" w:rsidRPr="00D5405A" w:rsidRDefault="00D5405A" w:rsidP="007A0CF3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5405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Generalidades</w:t>
            </w:r>
          </w:p>
        </w:tc>
        <w:tc>
          <w:tcPr>
            <w:tcW w:w="68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9552FC" w14:textId="07484CE4" w:rsidR="00D5405A" w:rsidRPr="00D5405A" w:rsidRDefault="00D5405A" w:rsidP="007A0CF3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Se entiende por </w:t>
            </w:r>
            <w:r w:rsidR="0063567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piña porcionada empacada al vací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o,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el producto obtenido de la selección, lavado y desinfección, pelado, cortado con piña madura, fresca con textura, color, sabor y olor característico del producto, a la que se ha retirado la piel y el corazón, empacada al vació.</w:t>
            </w:r>
          </w:p>
          <w:p w14:paraId="609D6151" w14:textId="77777777" w:rsidR="00D5405A" w:rsidRPr="00D5405A" w:rsidRDefault="00D5405A" w:rsidP="007A0CF3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0AB3D1E" w14:textId="3CD309EC" w:rsidR="00D5405A" w:rsidRPr="00D5405A" w:rsidRDefault="00635674" w:rsidP="007A0CF3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Para el empaque al vací</w:t>
            </w:r>
            <w:r w:rsidR="00D5405A"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o de la piña porcionada, se debe aplicar el método de envasado al vació consiste en la eliminación total del aire dentro del envase, sin que sea remplazado por otro gas.</w:t>
            </w:r>
          </w:p>
          <w:p w14:paraId="14544F77" w14:textId="77777777" w:rsidR="00D5405A" w:rsidRPr="00D5405A" w:rsidRDefault="00D5405A" w:rsidP="007A0CF3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D5405A" w:rsidRPr="00D5405A" w14:paraId="76EAEFEA" w14:textId="77777777" w:rsidTr="00D5405A">
        <w:trPr>
          <w:trHeight w:val="883"/>
        </w:trPr>
        <w:tc>
          <w:tcPr>
            <w:tcW w:w="249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6A66A3" w14:textId="77777777" w:rsidR="00D5405A" w:rsidRPr="00D5405A" w:rsidRDefault="00D5405A" w:rsidP="007A0CF3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5405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8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F0343C" w14:textId="77777777" w:rsidR="00D5405A" w:rsidRPr="00D5405A" w:rsidRDefault="00D5405A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Producto mínimamente procesado y refrigerado.   </w:t>
            </w:r>
          </w:p>
          <w:p w14:paraId="2810CFE8" w14:textId="0045EFE6" w:rsidR="00D5405A" w:rsidRPr="00D5405A" w:rsidRDefault="00D5405A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 piña porcionada de variedad </w:t>
            </w:r>
            <w:r w:rsidRPr="004043D2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>Golden Swe</w:t>
            </w:r>
            <w:r w:rsidR="004043D2" w:rsidRPr="004043D2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>e</w:t>
            </w:r>
            <w:r w:rsidRPr="004043D2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>t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o MD2, debe tener una textura consistente, firme, compacta. </w:t>
            </w:r>
          </w:p>
          <w:p w14:paraId="2804BADE" w14:textId="77777777" w:rsidR="00D5405A" w:rsidRPr="00D5405A" w:rsidRDefault="00D5405A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Color: característico, amarillo claro o amarillo intenso. </w:t>
            </w:r>
          </w:p>
          <w:p w14:paraId="5881AA58" w14:textId="77777777" w:rsidR="00D5405A" w:rsidRPr="00D5405A" w:rsidRDefault="00D5405A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Sabor: característico de fruto sano y maduro.</w:t>
            </w:r>
          </w:p>
          <w:p w14:paraId="0170C7B1" w14:textId="77777777" w:rsidR="00D5405A" w:rsidRPr="00D5405A" w:rsidRDefault="00D5405A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Olor: característico a la variedad de piña empleada, sanas maduras libres de olores extraños, limpias, y exentas de cualquier materia extraña visible; de plagas o daños causados por estas que afecten al aspecto general del producto; de daños causados por bajas y/o altas temperaturas; de manchas oscuras internas.</w:t>
            </w:r>
          </w:p>
          <w:p w14:paraId="5EA97CFC" w14:textId="77777777" w:rsidR="00D5405A" w:rsidRPr="00D5405A" w:rsidRDefault="00D5405A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72CA56B" w14:textId="77777777" w:rsidR="00D5405A" w:rsidRPr="00D5405A" w:rsidRDefault="00D5405A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 ningún caso los defectos deberán afectar a la pulpa del fruto.</w:t>
            </w:r>
          </w:p>
          <w:p w14:paraId="76D2BEF4" w14:textId="77777777" w:rsidR="00D5405A" w:rsidRPr="00D5405A" w:rsidRDefault="00D5405A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DF4829E" w14:textId="77777777" w:rsidR="00D5405A" w:rsidRPr="00D5405A" w:rsidRDefault="00D5405A" w:rsidP="007A0CF3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Forma del producto: </w:t>
            </w:r>
          </w:p>
          <w:p w14:paraId="78439121" w14:textId="77777777" w:rsidR="00D5405A" w:rsidRPr="00D5405A" w:rsidRDefault="00D5405A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323A5DC" w14:textId="77777777" w:rsidR="00D5405A" w:rsidRPr="00D5405A" w:rsidRDefault="00D5405A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b/>
                <w:i/>
                <w:color w:val="4E4D4D" w:themeColor="background2"/>
                <w:sz w:val="20"/>
                <w:szCs w:val="20"/>
                <w:u w:val="single"/>
              </w:rPr>
              <w:t>Rodajas enteras o anillos: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anillos o rodajas circulares uniformemente cortados a través del eje de los cilindros de piña.</w:t>
            </w:r>
          </w:p>
          <w:p w14:paraId="199EC0F7" w14:textId="77777777" w:rsidR="00D5405A" w:rsidRPr="00D5405A" w:rsidRDefault="00D5405A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A5D879D" w14:textId="77777777" w:rsidR="00D5405A" w:rsidRPr="00D5405A" w:rsidRDefault="00D5405A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b/>
                <w:i/>
                <w:color w:val="4E4D4D" w:themeColor="background2"/>
                <w:sz w:val="20"/>
                <w:szCs w:val="20"/>
                <w:u w:val="single"/>
              </w:rPr>
              <w:t>Rodajas fragmentadas: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porciones en forma de arco que pueden no ser uniformes en tamaño y/o forma.</w:t>
            </w:r>
          </w:p>
          <w:p w14:paraId="7128819A" w14:textId="77777777" w:rsidR="00D5405A" w:rsidRPr="00D5405A" w:rsidRDefault="00D5405A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A00DC9E" w14:textId="77777777" w:rsidR="00D5405A" w:rsidRPr="00D5405A" w:rsidRDefault="00D5405A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b/>
                <w:i/>
                <w:color w:val="4E4D4D" w:themeColor="background2"/>
                <w:sz w:val="20"/>
                <w:szCs w:val="20"/>
                <w:u w:val="single"/>
              </w:rPr>
              <w:t>Cuartos de rodajas</w:t>
            </w:r>
            <w:r w:rsidRPr="00D5405A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cuartos de rodajas, uniformemente cortados.</w:t>
            </w:r>
          </w:p>
          <w:p w14:paraId="4E1C73FC" w14:textId="77777777" w:rsidR="00D5405A" w:rsidRPr="00D5405A" w:rsidRDefault="00D5405A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49A7B8A" w14:textId="77777777" w:rsidR="00D5405A" w:rsidRPr="00D5405A" w:rsidRDefault="00D5405A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lastRenderedPageBreak/>
              <w:t>Para residuos de plaguicidas deben tener en cuenta las normas oficiales de carácter nacional o en su defecto las Normas Internacionales FAO/OMS u otras adoptadas por el Ministerio de Salud.</w:t>
            </w:r>
          </w:p>
          <w:p w14:paraId="258233AD" w14:textId="77777777" w:rsidR="00D5405A" w:rsidRPr="00D5405A" w:rsidRDefault="00D5405A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F0545D3" w14:textId="77777777" w:rsidR="00D5405A" w:rsidRPr="00D5405A" w:rsidRDefault="00D5405A" w:rsidP="007A0CF3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D5405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 xml:space="preserve">Condiciones de conservación, almacenamiento y transporte: </w:t>
            </w:r>
          </w:p>
          <w:p w14:paraId="58545830" w14:textId="77777777" w:rsidR="00D5405A" w:rsidRPr="00D5405A" w:rsidRDefault="00D5405A" w:rsidP="007A0CF3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6C80D8B" w14:textId="77777777" w:rsidR="00D5405A" w:rsidRPr="00D5405A" w:rsidRDefault="00D5405A" w:rsidP="007A0CF3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Conservación: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producto debe conservarse a temperatura de refrigeración no mayor a 6ºC, en canastillas plásticas y sobre estibas, en un lugar fresco alejado de focos de contaminación, olores fuertes, libre de plagas, dando cumplimiento a la Resolución 2674 de 2013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 Consumirse después de abierto en el menor tiempo posible.</w:t>
            </w:r>
          </w:p>
          <w:p w14:paraId="33BC5AC0" w14:textId="77777777" w:rsidR="00D5405A" w:rsidRPr="00D5405A" w:rsidRDefault="00D5405A" w:rsidP="007A0CF3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BF235A4" w14:textId="77777777" w:rsidR="00D5405A" w:rsidRPr="00D5405A" w:rsidRDefault="00D5405A" w:rsidP="007A0CF3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D5405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Este producto debe mantenerse en canastillas estibadas, a temperatura de refrigeración no mayor a 6ºC.  Los cuartos de almacenamiento deben permanecer en buenas condiciones higiénico-sanitarias, y disponer de controles de temperatura., en un espacio acorde a la cantidad de producto a almacenar, dando cumplimiento a la Resolución 2674 de 2013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7600AFC3" w14:textId="77777777" w:rsidR="00D5405A" w:rsidRPr="00D5405A" w:rsidRDefault="00D5405A" w:rsidP="007A0CF3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363CE38" w14:textId="77777777" w:rsidR="00D5405A" w:rsidRPr="00D5405A" w:rsidRDefault="00D5405A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Transporte: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El producto debe ser transportado en canastillas plásticas, debidamente estibado, en vehículo aislado, que cuente con sistema de refrigeración, a una temperatura no mayor a 6°C, se deberán mantener controles de temperatura desde el cargue, hasta el momento de la entrega. El producto se mantendrá en condiciones que cumpla con lo establecido. Lo anterior dando cumplimiento a la Resolución 2674 de 2013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</w:tc>
      </w:tr>
      <w:tr w:rsidR="00D5405A" w:rsidRPr="00D5405A" w14:paraId="563AD7FC" w14:textId="77777777" w:rsidTr="00D5405A">
        <w:trPr>
          <w:trHeight w:val="170"/>
        </w:trPr>
        <w:tc>
          <w:tcPr>
            <w:tcW w:w="249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02DF57" w14:textId="77777777" w:rsidR="00D5405A" w:rsidRPr="00D5405A" w:rsidRDefault="00D5405A" w:rsidP="007A0CF3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5405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8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EE5D8" w14:textId="77777777" w:rsidR="00D5405A" w:rsidRPr="00D5405A" w:rsidRDefault="00D5405A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B04761E" w14:textId="77777777" w:rsidR="00D5405A" w:rsidRPr="00D5405A" w:rsidRDefault="00D5405A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25345742" w14:textId="77777777" w:rsidR="00D5405A" w:rsidRPr="00D5405A" w:rsidRDefault="00D5405A" w:rsidP="007A0CF3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4044A47" w14:textId="77777777" w:rsidR="00D5405A" w:rsidRPr="00D5405A" w:rsidRDefault="00D5405A" w:rsidP="007A0CF3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fisicoquímicas</w:t>
            </w:r>
          </w:p>
          <w:p w14:paraId="13A274B1" w14:textId="77777777" w:rsidR="00D5405A" w:rsidRPr="00D5405A" w:rsidRDefault="00D5405A" w:rsidP="007A0CF3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5A63572E" w14:textId="77777777" w:rsidR="00D5405A" w:rsidRPr="00D5405A" w:rsidRDefault="00D5405A" w:rsidP="007A0CF3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94"/>
              <w:gridCol w:w="2835"/>
            </w:tblGrid>
            <w:tr w:rsidR="00D5405A" w:rsidRPr="00D5405A" w14:paraId="382AF6A5" w14:textId="77777777" w:rsidTr="00D5405A">
              <w:trPr>
                <w:trHeight w:val="20"/>
              </w:trPr>
              <w:tc>
                <w:tcPr>
                  <w:tcW w:w="3094" w:type="dxa"/>
                  <w:shd w:val="clear" w:color="auto" w:fill="BFBFBF"/>
                  <w:vAlign w:val="center"/>
                </w:tcPr>
                <w:p w14:paraId="30147859" w14:textId="77777777" w:rsidR="00D5405A" w:rsidRPr="00D5405A" w:rsidRDefault="00D5405A" w:rsidP="007A0CF3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D5405A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 xml:space="preserve">PARAMETRO </w:t>
                  </w:r>
                </w:p>
              </w:tc>
              <w:tc>
                <w:tcPr>
                  <w:tcW w:w="2835" w:type="dxa"/>
                  <w:shd w:val="clear" w:color="auto" w:fill="BFBFBF"/>
                  <w:vAlign w:val="center"/>
                </w:tcPr>
                <w:p w14:paraId="1C59B2BE" w14:textId="77777777" w:rsidR="00D5405A" w:rsidRPr="00D5405A" w:rsidRDefault="00D5405A" w:rsidP="007A0CF3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D5405A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 xml:space="preserve">VALOR REFERENCIA Requerimientos </w:t>
                  </w:r>
                </w:p>
              </w:tc>
            </w:tr>
            <w:tr w:rsidR="00D5405A" w:rsidRPr="00D5405A" w14:paraId="6323D67F" w14:textId="77777777" w:rsidTr="00D5405A">
              <w:trPr>
                <w:trHeight w:val="20"/>
              </w:trPr>
              <w:tc>
                <w:tcPr>
                  <w:tcW w:w="3094" w:type="dxa"/>
                </w:tcPr>
                <w:p w14:paraId="6344E6B0" w14:textId="77777777" w:rsidR="00D5405A" w:rsidRPr="00D5405A" w:rsidRDefault="00D5405A" w:rsidP="007A0CF3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5405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Porcentaje mínimo de sólidos solubles disueltos por lectura refractométrica a 20°C (Brix)</w:t>
                  </w:r>
                </w:p>
              </w:tc>
              <w:tc>
                <w:tcPr>
                  <w:tcW w:w="2835" w:type="dxa"/>
                </w:tcPr>
                <w:p w14:paraId="6552EA77" w14:textId="77777777" w:rsidR="00D5405A" w:rsidRPr="00D5405A" w:rsidRDefault="00D5405A" w:rsidP="007A0CF3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</w:p>
                <w:p w14:paraId="38F9D316" w14:textId="77777777" w:rsidR="00D5405A" w:rsidRPr="00D5405A" w:rsidRDefault="00D5405A" w:rsidP="007A0CF3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5405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9° Brix</w:t>
                  </w:r>
                </w:p>
              </w:tc>
            </w:tr>
            <w:tr w:rsidR="00D5405A" w:rsidRPr="00D5405A" w14:paraId="36EA0E11" w14:textId="77777777" w:rsidTr="00D5405A">
              <w:trPr>
                <w:trHeight w:val="20"/>
              </w:trPr>
              <w:tc>
                <w:tcPr>
                  <w:tcW w:w="3094" w:type="dxa"/>
                </w:tcPr>
                <w:p w14:paraId="70E8A85D" w14:textId="77777777" w:rsidR="00D5405A" w:rsidRPr="00D5405A" w:rsidRDefault="00D5405A" w:rsidP="007A0CF3">
                  <w:pPr>
                    <w:ind w:right="21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5405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Acidez Titulable </w:t>
                  </w:r>
                </w:p>
              </w:tc>
              <w:tc>
                <w:tcPr>
                  <w:tcW w:w="2835" w:type="dxa"/>
                </w:tcPr>
                <w:p w14:paraId="288FFD02" w14:textId="77777777" w:rsidR="00D5405A" w:rsidRPr="00D5405A" w:rsidRDefault="00D5405A" w:rsidP="007A0CF3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5405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0,3 % m/m</w:t>
                  </w:r>
                </w:p>
              </w:tc>
            </w:tr>
          </w:tbl>
          <w:p w14:paraId="4C2A81EF" w14:textId="77777777" w:rsidR="00D5405A" w:rsidRPr="00D5405A" w:rsidRDefault="00D5405A" w:rsidP="007A0CF3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15C78CE9" w14:textId="77777777" w:rsidR="00D5405A" w:rsidRPr="00D5405A" w:rsidRDefault="00D5405A" w:rsidP="007A0CF3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Características microbiológicas: </w:t>
            </w:r>
          </w:p>
          <w:p w14:paraId="23758D61" w14:textId="77777777" w:rsidR="00D5405A" w:rsidRPr="00D5405A" w:rsidRDefault="00D5405A" w:rsidP="007A0CF3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94"/>
              <w:gridCol w:w="2977"/>
            </w:tblGrid>
            <w:tr w:rsidR="00D5405A" w:rsidRPr="00D5405A" w14:paraId="3A0A5A78" w14:textId="77777777" w:rsidTr="00D5405A">
              <w:trPr>
                <w:trHeight w:val="470"/>
              </w:trPr>
              <w:tc>
                <w:tcPr>
                  <w:tcW w:w="3094" w:type="dxa"/>
                  <w:shd w:val="clear" w:color="auto" w:fill="BFBFBF"/>
                  <w:vAlign w:val="center"/>
                </w:tcPr>
                <w:p w14:paraId="6FBD87B2" w14:textId="77777777" w:rsidR="00D5405A" w:rsidRPr="00D5405A" w:rsidRDefault="00D5405A" w:rsidP="007A0CF3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D5405A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 (Unidades)</w:t>
                  </w:r>
                </w:p>
              </w:tc>
              <w:tc>
                <w:tcPr>
                  <w:tcW w:w="2977" w:type="dxa"/>
                  <w:shd w:val="clear" w:color="auto" w:fill="BFBFBF"/>
                  <w:vAlign w:val="center"/>
                </w:tcPr>
                <w:p w14:paraId="550BA01D" w14:textId="77777777" w:rsidR="00D5405A" w:rsidRPr="00D5405A" w:rsidRDefault="00D5405A" w:rsidP="007A0CF3">
                  <w:pPr>
                    <w:ind w:right="214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D5405A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</w:t>
                  </w:r>
                  <w:r w:rsidRPr="00D5405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 xml:space="preserve"> (INVIMA Ensaladas frutas verduras).</w:t>
                  </w:r>
                  <w:r w:rsidRPr="00D5405A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D5405A" w:rsidRPr="00D5405A" w14:paraId="520DAD60" w14:textId="77777777" w:rsidTr="00D5405A">
              <w:tc>
                <w:tcPr>
                  <w:tcW w:w="3094" w:type="dxa"/>
                </w:tcPr>
                <w:p w14:paraId="3A3D7095" w14:textId="77777777" w:rsidR="00D5405A" w:rsidRPr="00D5405A" w:rsidRDefault="00D5405A" w:rsidP="007A0CF3">
                  <w:pPr>
                    <w:ind w:right="214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D5405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  <w:t xml:space="preserve">NMP Coliformes totales (NMP/g) </w:t>
                  </w:r>
                </w:p>
              </w:tc>
              <w:tc>
                <w:tcPr>
                  <w:tcW w:w="2977" w:type="dxa"/>
                </w:tcPr>
                <w:p w14:paraId="6214C670" w14:textId="77777777" w:rsidR="00D5405A" w:rsidRPr="00D5405A" w:rsidRDefault="00D5405A" w:rsidP="007A0CF3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D5405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  <w:t>150</w:t>
                  </w:r>
                </w:p>
              </w:tc>
            </w:tr>
            <w:tr w:rsidR="00D5405A" w:rsidRPr="00D5405A" w14:paraId="72642473" w14:textId="77777777" w:rsidTr="00D5405A">
              <w:tc>
                <w:tcPr>
                  <w:tcW w:w="3094" w:type="dxa"/>
                  <w:vAlign w:val="center"/>
                </w:tcPr>
                <w:p w14:paraId="71C10AEC" w14:textId="77777777" w:rsidR="00D5405A" w:rsidRPr="00D5405A" w:rsidRDefault="00D5405A" w:rsidP="007A0CF3">
                  <w:pPr>
                    <w:ind w:right="214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D5405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  <w:t>NMP Coliformes Fecales (NMP/g)</w:t>
                  </w:r>
                </w:p>
              </w:tc>
              <w:tc>
                <w:tcPr>
                  <w:tcW w:w="2977" w:type="dxa"/>
                  <w:vAlign w:val="center"/>
                </w:tcPr>
                <w:p w14:paraId="15CCF1C7" w14:textId="77777777" w:rsidR="00D5405A" w:rsidRPr="00D5405A" w:rsidRDefault="00D5405A" w:rsidP="007A0CF3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D5405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  <w:t xml:space="preserve">&lt;3 </w:t>
                  </w:r>
                </w:p>
              </w:tc>
            </w:tr>
            <w:tr w:rsidR="00D5405A" w:rsidRPr="00D5405A" w14:paraId="7F8A310A" w14:textId="77777777" w:rsidTr="00D5405A">
              <w:tc>
                <w:tcPr>
                  <w:tcW w:w="3094" w:type="dxa"/>
                  <w:vAlign w:val="center"/>
                </w:tcPr>
                <w:p w14:paraId="06D742B9" w14:textId="77777777" w:rsidR="00D5405A" w:rsidRPr="00D5405A" w:rsidRDefault="00D5405A" w:rsidP="007A0CF3">
                  <w:pPr>
                    <w:ind w:right="214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D5405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  <w:t xml:space="preserve">Aislamiento de Salmonella / 25g </w:t>
                  </w:r>
                </w:p>
              </w:tc>
              <w:tc>
                <w:tcPr>
                  <w:tcW w:w="2977" w:type="dxa"/>
                  <w:vAlign w:val="center"/>
                </w:tcPr>
                <w:p w14:paraId="0B2758E6" w14:textId="77777777" w:rsidR="00D5405A" w:rsidRPr="00D5405A" w:rsidRDefault="00D5405A" w:rsidP="007A0CF3">
                  <w:pPr>
                    <w:ind w:right="214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</w:pPr>
                  <w:r w:rsidRPr="00D5405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/>
                    </w:rPr>
                    <w:t>Ausencia</w:t>
                  </w:r>
                </w:p>
              </w:tc>
            </w:tr>
          </w:tbl>
          <w:p w14:paraId="73884364" w14:textId="77777777" w:rsidR="00D5405A" w:rsidRPr="00D5405A" w:rsidRDefault="00D5405A" w:rsidP="007A0CF3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D8E4FC9" w14:textId="77777777" w:rsidR="00D5405A" w:rsidRPr="00D5405A" w:rsidRDefault="00D5405A" w:rsidP="007A0CF3">
            <w:pPr>
              <w:autoSpaceDE w:val="0"/>
              <w:autoSpaceDN w:val="0"/>
              <w:adjustRightInd w:val="0"/>
              <w:jc w:val="both"/>
              <w:rPr>
                <w:rStyle w:val="submenurojobl"/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residuos de plaguicidas no deben exceder los límites máximos establecidos en la Resolución 2906 de 2007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del Ministerio de la Protección Social.</w:t>
            </w:r>
          </w:p>
          <w:p w14:paraId="6797A09E" w14:textId="77777777" w:rsidR="00D5405A" w:rsidRPr="00D5405A" w:rsidRDefault="00D5405A" w:rsidP="007A0CF3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EF9BBFE" w14:textId="70892928" w:rsidR="00D5405A" w:rsidRPr="00D5405A" w:rsidRDefault="00D5405A" w:rsidP="007A0CF3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piña porcionada, empacada a</w:t>
            </w:r>
            <w:r w:rsidR="0063567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vací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o.</w:t>
            </w:r>
          </w:p>
          <w:p w14:paraId="0DADDD03" w14:textId="77777777" w:rsidR="00D5405A" w:rsidRPr="00D5405A" w:rsidRDefault="00D5405A" w:rsidP="007A0CF3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204787B" w14:textId="77777777" w:rsidR="00D5405A" w:rsidRPr="00D5405A" w:rsidRDefault="00D5405A" w:rsidP="007A0CF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D5405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Aditivos: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Se permite la adición de aditivos autorizados, estos se deben reportar en el rotulo del producto.</w:t>
            </w:r>
          </w:p>
          <w:p w14:paraId="608EEFF5" w14:textId="77777777" w:rsidR="00D5405A" w:rsidRPr="00D5405A" w:rsidRDefault="00D5405A" w:rsidP="007A0CF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  <w:lang w:val="es-CO"/>
              </w:rPr>
            </w:pPr>
          </w:p>
          <w:p w14:paraId="66986BB5" w14:textId="77777777" w:rsidR="00D5405A" w:rsidRPr="00D5405A" w:rsidRDefault="00D5405A" w:rsidP="007A0CF3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El tiempo de duración sanitaria es determinado por el fabricante.  En el momento del suministro el producto debe ser entregado dentro del tiempo de su vida útil.</w:t>
            </w:r>
          </w:p>
          <w:p w14:paraId="0068F991" w14:textId="77777777" w:rsidR="00D5405A" w:rsidRPr="00D5405A" w:rsidRDefault="00D5405A" w:rsidP="007A0CF3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</w:tc>
      </w:tr>
      <w:tr w:rsidR="00D5405A" w:rsidRPr="00D5405A" w14:paraId="07F0611A" w14:textId="77777777" w:rsidTr="00D5405A">
        <w:trPr>
          <w:trHeight w:val="69"/>
        </w:trPr>
        <w:tc>
          <w:tcPr>
            <w:tcW w:w="249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7CD41D" w14:textId="77777777" w:rsidR="00D5405A" w:rsidRPr="00D5405A" w:rsidRDefault="008320CC" w:rsidP="007A0CF3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5405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Empaque y</w:t>
            </w:r>
            <w:r w:rsidR="00D5405A" w:rsidRPr="00D5405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 rotulado</w:t>
            </w:r>
          </w:p>
        </w:tc>
        <w:tc>
          <w:tcPr>
            <w:tcW w:w="68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E21E2D" w14:textId="77777777" w:rsidR="00D5405A" w:rsidRPr="00D5405A" w:rsidRDefault="00D5405A" w:rsidP="007A0CF3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Empaque primario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debe cumplir cabalmente con las especificaciones técnicas establecidas en la Resolución 683 de 2012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flexible, grado alimenticio, inerte, que no genere migraciones de componentes al producto, resistente, permeable a los gases y a la humedad, que mantenga las características asépticas, microbiológicas, sensoriales y fisicoquímicas del producto, debe ser resistente al sellado y fundido, deberá ser resistente a la impresión flexográfica y fabricado con materiales amigables con el medio ambiente. El sellado deberá garantizar la integridad aséptica, microbiológica, sensorial y fisicoquímica del producto.</w:t>
            </w:r>
          </w:p>
          <w:p w14:paraId="2AAC5C52" w14:textId="77777777" w:rsidR="00D5405A" w:rsidRPr="00D5405A" w:rsidRDefault="00D5405A" w:rsidP="007A0CF3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15E8391" w14:textId="77777777" w:rsidR="00D5405A" w:rsidRPr="00D5405A" w:rsidRDefault="00D5405A" w:rsidP="007A0CF3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Rotulado:</w:t>
            </w:r>
            <w:r w:rsidRPr="00D5405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rotulado, debe contener la información establecida en la Resolución 5109 de 2005 y Resolución 333 de 2011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s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por el Ministerio de Salud y Protección Social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en el caso que lo requiera, y las demás normas que modifiquen, sustituyan o adicionen la reglamentación mencionada una vez entren en vigencia.</w:t>
            </w:r>
          </w:p>
          <w:p w14:paraId="11EA19FC" w14:textId="77777777" w:rsidR="00D5405A" w:rsidRPr="00D5405A" w:rsidRDefault="00D5405A" w:rsidP="007A0CF3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CF396E3" w14:textId="77777777" w:rsidR="00D5405A" w:rsidRPr="00D5405A" w:rsidRDefault="00D5405A" w:rsidP="007A0CF3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highlight w:val="yellow"/>
              </w:rPr>
            </w:pP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empaque debe especificar resaltadas y legibles, la fecha de vencimiento y el número de lote, la variedad de piña utilizada, método de conservación especificando el modo de consumo  </w:t>
            </w:r>
          </w:p>
        </w:tc>
      </w:tr>
      <w:tr w:rsidR="00D5405A" w:rsidRPr="00D5405A" w14:paraId="52AF7598" w14:textId="77777777" w:rsidTr="00D5405A">
        <w:trPr>
          <w:trHeight w:val="1065"/>
        </w:trPr>
        <w:tc>
          <w:tcPr>
            <w:tcW w:w="249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C9E5BC" w14:textId="77777777" w:rsidR="00D5405A" w:rsidRPr="00D5405A" w:rsidRDefault="00D5405A" w:rsidP="007A0CF3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5405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8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7F151D" w14:textId="77777777" w:rsidR="00D5405A" w:rsidRPr="00D5405A" w:rsidRDefault="00D5405A" w:rsidP="007A0CF3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55A061A" w14:textId="2B113743" w:rsidR="00D5405A" w:rsidRPr="00D5405A" w:rsidRDefault="00D5405A" w:rsidP="007A0CF3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A </w:t>
            </w:r>
            <w:r w:rsidR="005E524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</w:t>
            </w:r>
            <w:r w:rsidR="005E5243"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x 100g. Porción entera, fragmentada o cuartos de rodaja. </w:t>
            </w:r>
          </w:p>
          <w:p w14:paraId="79A8E3FD" w14:textId="77777777" w:rsidR="00D5405A" w:rsidRPr="00D5405A" w:rsidRDefault="00D5405A" w:rsidP="007A0CF3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F3F6B3A" w14:textId="4E81C2DB" w:rsidR="00D5405A" w:rsidRPr="00D5405A" w:rsidRDefault="00D5405A" w:rsidP="007A0CF3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B </w:t>
            </w:r>
            <w:r w:rsidR="005E524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mínimo</w:t>
            </w:r>
            <w:r w:rsidR="005E5243"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x 100g.  Porción entera, fragmentada o cuartos de rodaja. </w:t>
            </w:r>
          </w:p>
          <w:p w14:paraId="1F0175E6" w14:textId="77777777" w:rsidR="00D5405A" w:rsidRPr="00D5405A" w:rsidRDefault="00D5405A" w:rsidP="007A0CF3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614CCA1" w14:textId="631D2A44" w:rsidR="00D5405A" w:rsidRPr="00D5405A" w:rsidRDefault="00D5405A" w:rsidP="007A0CF3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</w:t>
            </w:r>
            <w:r w:rsidR="005E524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</w:t>
            </w:r>
            <w:r w:rsidR="005E5243"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D54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x 100g.  Porción entera, fragmentada o cuartos de rodaja. </w:t>
            </w:r>
          </w:p>
          <w:p w14:paraId="36FAE852" w14:textId="77777777" w:rsidR="00D5405A" w:rsidRPr="00D5405A" w:rsidRDefault="00D5405A" w:rsidP="007A0CF3">
            <w:pPr>
              <w:tabs>
                <w:tab w:val="left" w:pos="7740"/>
              </w:tabs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highlight w:val="yellow"/>
              </w:rPr>
            </w:pPr>
          </w:p>
        </w:tc>
      </w:tr>
    </w:tbl>
    <w:p w14:paraId="303F1FF6" w14:textId="77777777" w:rsidR="00D5405A" w:rsidRDefault="00D5405A" w:rsidP="00D5405A">
      <w:pPr>
        <w:jc w:val="both"/>
        <w:rPr>
          <w:rFonts w:ascii="Arial" w:hAnsi="Arial" w:cs="Arial"/>
          <w:b/>
          <w:sz w:val="22"/>
          <w:szCs w:val="22"/>
        </w:rPr>
      </w:pPr>
    </w:p>
    <w:p w14:paraId="00B9EEBF" w14:textId="77777777" w:rsidR="008320CC" w:rsidRDefault="008320CC" w:rsidP="008320CC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7808C8B6" w14:textId="77777777" w:rsidR="00D5405A" w:rsidRPr="00FC3B1F" w:rsidRDefault="00D5405A" w:rsidP="00D5405A">
      <w:pPr>
        <w:jc w:val="both"/>
        <w:rPr>
          <w:rFonts w:ascii="Arial" w:hAnsi="Arial" w:cs="Arial"/>
          <w:szCs w:val="22"/>
        </w:rPr>
      </w:pPr>
    </w:p>
    <w:p w14:paraId="0408D839" w14:textId="77777777" w:rsidR="00D5405A" w:rsidRDefault="00D5405A" w:rsidP="00D5405A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625BA326" w14:textId="77777777" w:rsidR="00D5405A" w:rsidRPr="00C2101D" w:rsidRDefault="00D5405A" w:rsidP="00D5405A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708EDB98" w14:textId="77777777" w:rsidR="009A67BC" w:rsidRDefault="009A67BC" w:rsidP="00C81483">
      <w:pPr>
        <w:jc w:val="center"/>
        <w:rPr>
          <w:color w:val="4E4D4D" w:themeColor="background2"/>
        </w:rPr>
      </w:pPr>
    </w:p>
    <w:sectPr w:rsidR="009A67BC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B526B" w14:textId="77777777" w:rsidR="003E76D6" w:rsidRDefault="003E76D6" w:rsidP="004F2C35">
      <w:r>
        <w:separator/>
      </w:r>
    </w:p>
  </w:endnote>
  <w:endnote w:type="continuationSeparator" w:id="0">
    <w:p w14:paraId="00B195DD" w14:textId="77777777" w:rsidR="003E76D6" w:rsidRDefault="003E76D6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AD2B5" w14:textId="77777777" w:rsidR="00C50D27" w:rsidRDefault="00C50D27">
    <w:pPr>
      <w:pStyle w:val="Piedepgina"/>
      <w:jc w:val="right"/>
    </w:pPr>
  </w:p>
  <w:p w14:paraId="63D22013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358E1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697963CE" wp14:editId="70F6C9D3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057354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46A98FD9" wp14:editId="72005CC2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AA6847" w14:textId="77777777" w:rsidR="003E76D6" w:rsidRDefault="003E76D6" w:rsidP="004F2C35">
      <w:r>
        <w:separator/>
      </w:r>
    </w:p>
  </w:footnote>
  <w:footnote w:type="continuationSeparator" w:id="0">
    <w:p w14:paraId="18A436FA" w14:textId="77777777" w:rsidR="003E76D6" w:rsidRDefault="003E76D6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254F4" w14:textId="77777777" w:rsidR="006D761F" w:rsidRDefault="006D761F" w:rsidP="006D761F">
    <w:pPr>
      <w:pStyle w:val="Encabezado"/>
      <w:jc w:val="right"/>
      <w:rPr>
        <w:b/>
      </w:rPr>
    </w:pPr>
  </w:p>
  <w:p w14:paraId="0041FEAB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AC70C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19377F46" wp14:editId="011A4FF0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912CD7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7160E0E3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9748B8"/>
    <w:multiLevelType w:val="hybridMultilevel"/>
    <w:tmpl w:val="120471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05A"/>
    <w:rsid w:val="00091E6B"/>
    <w:rsid w:val="000D7CD2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535A9"/>
    <w:rsid w:val="00305CEF"/>
    <w:rsid w:val="0034024E"/>
    <w:rsid w:val="003E173E"/>
    <w:rsid w:val="003E76D6"/>
    <w:rsid w:val="003F0847"/>
    <w:rsid w:val="004043D2"/>
    <w:rsid w:val="00474EDE"/>
    <w:rsid w:val="004B1B0F"/>
    <w:rsid w:val="004F2C35"/>
    <w:rsid w:val="005225E0"/>
    <w:rsid w:val="0059060F"/>
    <w:rsid w:val="005E5243"/>
    <w:rsid w:val="00635674"/>
    <w:rsid w:val="0065617D"/>
    <w:rsid w:val="006A63AE"/>
    <w:rsid w:val="006D1CC1"/>
    <w:rsid w:val="006D761F"/>
    <w:rsid w:val="007212F3"/>
    <w:rsid w:val="00751787"/>
    <w:rsid w:val="007C1BAD"/>
    <w:rsid w:val="007D654B"/>
    <w:rsid w:val="00831B30"/>
    <w:rsid w:val="008320CC"/>
    <w:rsid w:val="008A1A6F"/>
    <w:rsid w:val="008A71EC"/>
    <w:rsid w:val="009A67BC"/>
    <w:rsid w:val="009B26E4"/>
    <w:rsid w:val="00A06874"/>
    <w:rsid w:val="00A34836"/>
    <w:rsid w:val="00A924F4"/>
    <w:rsid w:val="00B11CD8"/>
    <w:rsid w:val="00B30435"/>
    <w:rsid w:val="00BC6AFD"/>
    <w:rsid w:val="00C2579D"/>
    <w:rsid w:val="00C50D27"/>
    <w:rsid w:val="00C77072"/>
    <w:rsid w:val="00C81483"/>
    <w:rsid w:val="00CF0266"/>
    <w:rsid w:val="00D5405A"/>
    <w:rsid w:val="00D67F6F"/>
    <w:rsid w:val="00E66CC3"/>
    <w:rsid w:val="00EB47F3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69E0E4"/>
  <w15:chartTrackingRefBased/>
  <w15:docId w15:val="{D89CBC57-A966-43D7-8DB0-701C72174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40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submenurojobl">
    <w:name w:val="submenurojobl"/>
    <w:rsid w:val="00D5405A"/>
  </w:style>
  <w:style w:type="character" w:styleId="Refdecomentario">
    <w:name w:val="annotation reference"/>
    <w:basedOn w:val="Fuentedeprrafopredeter"/>
    <w:uiPriority w:val="99"/>
    <w:semiHidden/>
    <w:unhideWhenUsed/>
    <w:rsid w:val="00D540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5405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5405A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40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405A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DB6C3-3E70-44F9-99D8-4AFBE13EF4FA}">
  <ds:schemaRefs>
    <ds:schemaRef ds:uri="99cf77a6-9fdf-48f0-bab1-4f9db627116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A9333D4-17DB-46B2-B454-8F87CD3A97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2D36B1-35D9-4CAD-B1C5-02FE8F6BA7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675F6D-D0D9-4927-9424-5A0B354D9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42F0EEBF.dotm</Template>
  <TotalTime>3</TotalTime>
  <Pages>3</Pages>
  <Words>1063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5</cp:revision>
  <cp:lastPrinted>2017-09-28T22:28:00Z</cp:lastPrinted>
  <dcterms:created xsi:type="dcterms:W3CDTF">2018-05-15T22:48:00Z</dcterms:created>
  <dcterms:modified xsi:type="dcterms:W3CDTF">2018-05-23T14:44:00Z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